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eastAsia="仿宋_GB2312"/>
          <w:sz w:val="44"/>
          <w:szCs w:val="44"/>
        </w:rPr>
      </w:pPr>
    </w:p>
    <w:p>
      <w:pPr>
        <w:spacing w:line="360" w:lineRule="auto"/>
        <w:rPr>
          <w:rFonts w:ascii="仿宋_GB2312" w:eastAsia="仿宋_GB2312"/>
          <w:sz w:val="44"/>
          <w:szCs w:val="44"/>
        </w:rPr>
      </w:pPr>
    </w:p>
    <w:p>
      <w:pPr>
        <w:spacing w:line="360" w:lineRule="auto"/>
        <w:rPr>
          <w:rFonts w:ascii="仿宋_GB2312" w:eastAsia="仿宋_GB2312"/>
          <w:sz w:val="44"/>
          <w:szCs w:val="44"/>
        </w:rPr>
      </w:pPr>
    </w:p>
    <w:p>
      <w:pPr>
        <w:spacing w:line="360" w:lineRule="auto"/>
        <w:rPr>
          <w:rFonts w:ascii="仿宋_GB2312" w:eastAsia="仿宋_GB2312"/>
          <w:sz w:val="44"/>
          <w:szCs w:val="44"/>
        </w:rPr>
      </w:pPr>
    </w:p>
    <w:p>
      <w:pPr>
        <w:jc w:val="center"/>
        <w:rPr>
          <w:rFonts w:ascii="宋体" w:hAnsi="宋体"/>
          <w:sz w:val="44"/>
          <w:szCs w:val="44"/>
        </w:rPr>
      </w:pPr>
      <w:r>
        <w:rPr>
          <w:rFonts w:ascii="宋体" w:hAnsi="宋体"/>
          <w:sz w:val="44"/>
          <w:szCs w:val="44"/>
        </w:rPr>
        <w:t>20</w:t>
      </w:r>
      <w:r>
        <w:rPr>
          <w:rFonts w:hint="eastAsia" w:ascii="宋体" w:hAnsi="宋体"/>
          <w:sz w:val="44"/>
          <w:szCs w:val="44"/>
        </w:rPr>
        <w:t>20</w:t>
      </w:r>
      <w:r>
        <w:rPr>
          <w:rFonts w:ascii="宋体" w:hAnsi="宋体"/>
          <w:sz w:val="44"/>
          <w:szCs w:val="44"/>
        </w:rPr>
        <w:t>年</w:t>
      </w:r>
      <w:r>
        <w:rPr>
          <w:rFonts w:hint="eastAsia" w:ascii="宋体" w:hAnsi="宋体"/>
          <w:sz w:val="44"/>
          <w:szCs w:val="44"/>
        </w:rPr>
        <w:t>度部门</w:t>
      </w:r>
      <w:r>
        <w:rPr>
          <w:rFonts w:ascii="宋体" w:hAnsi="宋体"/>
          <w:sz w:val="44"/>
          <w:szCs w:val="44"/>
        </w:rPr>
        <w:t>整体绩效自评报告</w:t>
      </w: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ind w:left="4190" w:leftChars="700" w:hanging="2720" w:hangingChars="850"/>
        <w:rPr>
          <w:rFonts w:ascii="仿宋_GB2312" w:eastAsia="仿宋_GB2312"/>
          <w:bCs/>
          <w:sz w:val="32"/>
          <w:szCs w:val="32"/>
        </w:rPr>
      </w:pPr>
      <w:r>
        <w:rPr>
          <w:rFonts w:hint="eastAsia" w:ascii="仿宋_GB2312" w:eastAsia="仿宋_GB2312"/>
          <w:sz w:val="32"/>
          <w:szCs w:val="32"/>
        </w:rPr>
        <w:t>部门名称（公章）：</w:t>
      </w:r>
      <w:r>
        <w:rPr>
          <w:rFonts w:hint="eastAsia" w:ascii="仿宋_GB2312" w:eastAsia="仿宋_GB2312"/>
          <w:bCs/>
          <w:sz w:val="32"/>
          <w:szCs w:val="32"/>
        </w:rPr>
        <w:t>深圳市大鹏新区华侨中学</w:t>
      </w:r>
    </w:p>
    <w:p>
      <w:pPr>
        <w:spacing w:line="360" w:lineRule="auto"/>
        <w:ind w:firstLine="1440" w:firstLineChars="450"/>
        <w:rPr>
          <w:rFonts w:ascii="仿宋_GB2312" w:eastAsia="仿宋_GB2312"/>
          <w:sz w:val="32"/>
          <w:szCs w:val="32"/>
        </w:rPr>
      </w:pPr>
      <w:r>
        <w:rPr>
          <w:rFonts w:hint="eastAsia" w:ascii="仿宋_GB2312" w:eastAsia="仿宋_GB2312"/>
          <w:sz w:val="32"/>
          <w:szCs w:val="32"/>
        </w:rPr>
        <w:t>填报人：马英</w:t>
      </w:r>
    </w:p>
    <w:p>
      <w:pPr>
        <w:spacing w:line="360" w:lineRule="auto"/>
        <w:ind w:firstLine="1440" w:firstLineChars="450"/>
        <w:rPr>
          <w:rFonts w:ascii="仿宋_GB2312" w:eastAsia="仿宋_GB2312"/>
          <w:sz w:val="32"/>
          <w:szCs w:val="32"/>
        </w:rPr>
      </w:pPr>
      <w:r>
        <w:rPr>
          <w:rFonts w:hint="eastAsia" w:ascii="仿宋_GB2312" w:eastAsia="仿宋_GB2312"/>
          <w:sz w:val="32"/>
          <w:szCs w:val="32"/>
        </w:rPr>
        <w:t>联系电话：0755-84307220</w:t>
      </w:r>
    </w:p>
    <w:p>
      <w:pPr>
        <w:jc w:val="center"/>
        <w:rPr>
          <w:rFonts w:ascii="仿宋_GB2312" w:eastAsia="仿宋_GB2312"/>
          <w:sz w:val="32"/>
          <w:szCs w:val="32"/>
        </w:rPr>
      </w:pPr>
    </w:p>
    <w:p>
      <w:pPr>
        <w:jc w:val="center"/>
        <w:rPr>
          <w:rFonts w:ascii="宋体" w:hAnsi="宋体"/>
          <w:sz w:val="44"/>
          <w:szCs w:val="44"/>
        </w:rPr>
      </w:pPr>
    </w:p>
    <w:p>
      <w:pPr>
        <w:jc w:val="center"/>
        <w:rPr>
          <w:rFonts w:ascii="宋体" w:hAnsi="宋体"/>
          <w:sz w:val="44"/>
          <w:szCs w:val="44"/>
        </w:rPr>
      </w:pPr>
    </w:p>
    <w:p>
      <w:pPr>
        <w:rPr>
          <w:rFonts w:ascii="宋体" w:hAnsi="宋体"/>
          <w:sz w:val="44"/>
          <w:szCs w:val="44"/>
        </w:rPr>
      </w:pPr>
    </w:p>
    <w:p>
      <w:pPr>
        <w:rPr>
          <w:rFonts w:ascii="宋体" w:hAnsi="宋体"/>
          <w:sz w:val="44"/>
          <w:szCs w:val="44"/>
        </w:rPr>
      </w:pPr>
    </w:p>
    <w:p>
      <w:pPr>
        <w:rPr>
          <w:rFonts w:ascii="宋体" w:hAnsi="宋体"/>
          <w:sz w:val="44"/>
          <w:szCs w:val="44"/>
        </w:rPr>
      </w:pPr>
    </w:p>
    <w:p>
      <w:pPr>
        <w:snapToGrid w:val="0"/>
        <w:spacing w:line="540" w:lineRule="exact"/>
        <w:rPr>
          <w:rFonts w:ascii="宋体" w:hAnsi="宋体"/>
          <w:sz w:val="44"/>
          <w:szCs w:val="44"/>
        </w:rPr>
      </w:pPr>
    </w:p>
    <w:p>
      <w:pPr>
        <w:rPr>
          <w:rFonts w:ascii="仿宋_GB2312" w:hAnsi="黑体" w:eastAsia="仿宋_GB2312"/>
          <w:sz w:val="32"/>
          <w:szCs w:val="32"/>
        </w:rPr>
      </w:pPr>
    </w:p>
    <w:p>
      <w:pPr>
        <w:ind w:firstLine="640" w:firstLineChars="200"/>
        <w:rPr>
          <w:rFonts w:ascii="仿宋_GB2312" w:hAnsi="黑体" w:eastAsia="仿宋_GB2312"/>
          <w:bCs/>
          <w:sz w:val="32"/>
          <w:szCs w:val="32"/>
        </w:rPr>
      </w:pPr>
      <w:r>
        <w:rPr>
          <w:rFonts w:hint="eastAsia" w:ascii="仿宋_GB2312" w:hAnsi="黑体" w:eastAsia="仿宋_GB2312"/>
          <w:sz w:val="32"/>
          <w:szCs w:val="32"/>
        </w:rPr>
        <w:t>为贯彻落实党的十九大精神，按照《中共中央 国务院关于全面实施预算绩效管理的意见》《深圳市财政局关于贯彻落实全面实施预算绩效管理有关事项的通知》（深财绩〔2019〕5号）及《大鹏新区关于贯彻落实全面实施预算绩效管理的工作方案》（深鹏发财〔2019〕445号）要求，根据《中华人民共和国预算法》及实施条例，结合深圳市大鹏新区发展和财政局《关于做好新区2021预算绩效管理工作的通知》要求（深鹏发财函〔2021〕51号），深圳市大鹏新区华侨中学组织绩效评价小组对2020年度部门整体支出展开绩效自评工作，现将评价情况及结果报告如下。</w:t>
      </w:r>
    </w:p>
    <w:p>
      <w:pPr>
        <w:ind w:firstLine="420"/>
        <w:rPr>
          <w:rFonts w:ascii="黑体" w:hAnsi="黑体" w:eastAsia="黑体"/>
          <w:sz w:val="32"/>
          <w:szCs w:val="32"/>
        </w:rPr>
      </w:pPr>
      <w:r>
        <w:rPr>
          <w:rFonts w:hint="eastAsia" w:ascii="黑体" w:hAnsi="黑体" w:eastAsia="黑体"/>
          <w:sz w:val="32"/>
          <w:szCs w:val="32"/>
        </w:rPr>
        <w:t>一、部门（单位）基本情况</w:t>
      </w:r>
    </w:p>
    <w:p>
      <w:pPr>
        <w:ind w:firstLine="420"/>
        <w:rPr>
          <w:rFonts w:ascii="楷体" w:hAnsi="楷体" w:eastAsia="楷体"/>
          <w:bCs/>
          <w:sz w:val="32"/>
          <w:szCs w:val="32"/>
        </w:rPr>
      </w:pPr>
      <w:r>
        <w:rPr>
          <w:rFonts w:hint="eastAsia" w:ascii="楷体" w:hAnsi="楷体" w:eastAsia="楷体"/>
          <w:bCs/>
          <w:sz w:val="32"/>
          <w:szCs w:val="32"/>
        </w:rPr>
        <w:t>（一）部门主要职能</w:t>
      </w:r>
    </w:p>
    <w:p>
      <w:pPr>
        <w:ind w:firstLine="640" w:firstLineChars="200"/>
        <w:rPr>
          <w:rFonts w:ascii="仿宋_GB2312" w:hAnsi="黑体" w:eastAsia="仿宋_GB2312"/>
          <w:sz w:val="32"/>
          <w:szCs w:val="32"/>
        </w:rPr>
      </w:pPr>
      <w:r>
        <w:rPr>
          <w:rFonts w:hint="eastAsia" w:ascii="仿宋_GB2312" w:hAnsi="黑体" w:eastAsia="仿宋_GB2312"/>
          <w:sz w:val="32"/>
          <w:szCs w:val="32"/>
        </w:rPr>
        <w:t>大鹏新区华侨中学，简称大鹏中学或华侨中学,是深圳市唯一一所冠名“华侨中学”的公办初级中学。我校位于深圳经济特区东部大鹏半岛。学校创建于1957年。为王少清女士和梁锦浩先生等香港著名侨领和香港大鹏同乡会倡导、海内外同胞和侨胞共同捐资兴建。学校因此冠名“华侨”。学校现设有七、八、九等3个年级16个教学班，在校学生600余名。占地面积50228平方米，建筑面积10652平方米。我校的主要职能职责为：</w:t>
      </w:r>
    </w:p>
    <w:p>
      <w:pPr>
        <w:snapToGrid w:val="0"/>
        <w:spacing w:line="580" w:lineRule="exact"/>
        <w:ind w:firstLine="640" w:firstLineChars="200"/>
        <w:rPr>
          <w:rFonts w:ascii="仿宋_GB2312" w:hAnsi="Adobe 楷体 Std R" w:eastAsia="仿宋_GB2312" w:cs="仿宋_GB2312"/>
          <w:color w:val="000000"/>
          <w:sz w:val="32"/>
          <w:szCs w:val="32"/>
        </w:rPr>
      </w:pPr>
      <w:r>
        <w:rPr>
          <w:rFonts w:hint="eastAsia" w:ascii="仿宋_GB2312" w:hAnsi="Adobe 楷体 Std R" w:eastAsia="仿宋_GB2312" w:cs="仿宋_GB2312"/>
          <w:color w:val="000000"/>
          <w:sz w:val="32"/>
          <w:szCs w:val="32"/>
        </w:rPr>
        <w:t>1.实施义务教育，促进基础教育发展。</w:t>
      </w:r>
    </w:p>
    <w:p>
      <w:pPr>
        <w:snapToGrid w:val="0"/>
        <w:spacing w:line="580" w:lineRule="exact"/>
        <w:ind w:firstLine="640" w:firstLineChars="200"/>
        <w:rPr>
          <w:rFonts w:ascii="仿宋_GB2312" w:hAnsi="Adobe 楷体 Std R" w:eastAsia="仿宋_GB2312" w:cs="仿宋_GB2312"/>
          <w:color w:val="000000"/>
          <w:sz w:val="32"/>
          <w:szCs w:val="32"/>
        </w:rPr>
      </w:pPr>
      <w:r>
        <w:rPr>
          <w:rFonts w:hint="eastAsia" w:ascii="仿宋_GB2312" w:hAnsi="Adobe 楷体 Std R" w:eastAsia="仿宋_GB2312" w:cs="仿宋_GB2312"/>
          <w:color w:val="000000"/>
          <w:sz w:val="32"/>
          <w:szCs w:val="32"/>
        </w:rPr>
        <w:t>2.执行党和国家的教育方针、政策、法律、法规等，依法执教，依法治学。</w:t>
      </w:r>
    </w:p>
    <w:p>
      <w:pPr>
        <w:snapToGrid w:val="0"/>
        <w:spacing w:line="580" w:lineRule="exact"/>
        <w:ind w:firstLine="640" w:firstLineChars="200"/>
        <w:rPr>
          <w:rFonts w:ascii="仿宋_GB2312" w:hAnsi="Adobe 楷体 Std R" w:eastAsia="仿宋_GB2312" w:cs="仿宋_GB2312"/>
          <w:color w:val="000000"/>
          <w:sz w:val="32"/>
          <w:szCs w:val="32"/>
        </w:rPr>
      </w:pPr>
      <w:r>
        <w:rPr>
          <w:rFonts w:hint="eastAsia" w:ascii="仿宋_GB2312" w:hAnsi="Adobe 楷体 Std R" w:eastAsia="仿宋_GB2312" w:cs="仿宋_GB2312"/>
          <w:color w:val="000000"/>
          <w:sz w:val="32"/>
          <w:szCs w:val="32"/>
        </w:rPr>
        <w:t>3.负责对本校的教育工作的具体管理，负责教育教学管理及教研工作，全力推进素质教育实施。以提高教育教学质量为目的，负责本校教师人事管理、继续教育、考核考评等工作。</w:t>
      </w:r>
    </w:p>
    <w:p>
      <w:pPr>
        <w:ind w:firstLine="420"/>
        <w:rPr>
          <w:rFonts w:ascii="仿宋_GB2312" w:hAnsi="黑体" w:eastAsia="仿宋_GB2312"/>
          <w:sz w:val="32"/>
          <w:szCs w:val="32"/>
        </w:rPr>
      </w:pPr>
      <w:r>
        <w:rPr>
          <w:rFonts w:ascii="仿宋_GB2312" w:hAnsi="黑体" w:eastAsia="仿宋_GB2312"/>
          <w:sz w:val="32"/>
          <w:szCs w:val="32"/>
        </w:rPr>
        <w:t>　</w:t>
      </w:r>
      <w:r>
        <w:rPr>
          <w:rFonts w:hint="eastAsia" w:ascii="仿宋_GB2312" w:hAnsi="黑体" w:eastAsia="仿宋_GB2312"/>
          <w:sz w:val="32"/>
          <w:szCs w:val="32"/>
        </w:rPr>
        <w:t>4.</w:t>
      </w:r>
      <w:r>
        <w:rPr>
          <w:rFonts w:ascii="仿宋_GB2312" w:hAnsi="黑体" w:eastAsia="仿宋_GB2312"/>
          <w:sz w:val="32"/>
          <w:szCs w:val="32"/>
        </w:rPr>
        <w:t>承办</w:t>
      </w:r>
      <w:r>
        <w:rPr>
          <w:rFonts w:hint="eastAsia" w:ascii="仿宋_GB2312" w:hAnsi="黑体" w:eastAsia="仿宋_GB2312"/>
          <w:sz w:val="32"/>
          <w:szCs w:val="32"/>
        </w:rPr>
        <w:t>新区党工委、管委会和新区教育和卫生健康局</w:t>
      </w:r>
      <w:r>
        <w:rPr>
          <w:rFonts w:ascii="仿宋_GB2312" w:hAnsi="黑体" w:eastAsia="仿宋_GB2312"/>
          <w:sz w:val="32"/>
          <w:szCs w:val="32"/>
        </w:rPr>
        <w:t>交办的其他事项。</w:t>
      </w:r>
    </w:p>
    <w:p>
      <w:pPr>
        <w:ind w:firstLine="420"/>
        <w:rPr>
          <w:rFonts w:ascii="楷体" w:hAnsi="楷体" w:eastAsia="楷体"/>
          <w:bCs/>
          <w:sz w:val="32"/>
          <w:szCs w:val="32"/>
        </w:rPr>
      </w:pPr>
      <w:r>
        <w:rPr>
          <w:rFonts w:hint="eastAsia" w:ascii="楷体" w:hAnsi="楷体" w:eastAsia="楷体"/>
          <w:bCs/>
          <w:sz w:val="32"/>
          <w:szCs w:val="32"/>
        </w:rPr>
        <w:t>（二）年度总体工作和重点工作任务。</w:t>
      </w:r>
    </w:p>
    <w:p>
      <w:pPr>
        <w:ind w:firstLine="640" w:firstLineChars="200"/>
        <w:rPr>
          <w:rFonts w:ascii="仿宋_GB2312" w:hAnsi="黑体" w:eastAsia="仿宋_GB2312"/>
          <w:sz w:val="32"/>
          <w:szCs w:val="32"/>
        </w:rPr>
      </w:pPr>
      <w:r>
        <w:rPr>
          <w:rFonts w:hint="eastAsia" w:ascii="仿宋_GB2312" w:hAnsi="黑体" w:eastAsia="仿宋_GB2312"/>
          <w:sz w:val="32"/>
          <w:szCs w:val="32"/>
        </w:rPr>
        <w:t>2020年度在新区党工委、管委会和新区教育和卫生健康局的坚强领导和大力支持下，在学校领导班子的管理和指导下，紧紧围绕“凝心聚智，固本强基，增品提质，创优争先”的学校工作总目标，全校教职工共同努力推动学校教育事业发展，扎实工作，在多方面实现新突破。2020年，我校总体工作任务和重点工作主要为：</w:t>
      </w:r>
    </w:p>
    <w:p>
      <w:pPr>
        <w:ind w:firstLine="640" w:firstLineChars="200"/>
        <w:rPr>
          <w:rFonts w:ascii="仿宋_GB2312" w:hAnsi="黑体" w:eastAsia="仿宋_GB2312"/>
          <w:sz w:val="32"/>
          <w:szCs w:val="32"/>
        </w:rPr>
      </w:pPr>
      <w:r>
        <w:rPr>
          <w:rFonts w:hint="eastAsia" w:ascii="仿宋_GB2312" w:hAnsi="黑体" w:eastAsia="仿宋_GB2312"/>
          <w:sz w:val="32"/>
          <w:szCs w:val="32"/>
        </w:rPr>
        <w:t>1.通过绩效考核、购买教育服务、教育管理以及学校日常运行经费的投入和相关工作的开展，保障学校教职工的合理配置、校园日常工作和教学工作的正常运转和全校师生的食</w:t>
      </w:r>
      <w:r>
        <w:rPr>
          <w:rFonts w:hint="eastAsia" w:ascii="仿宋_GB2312" w:hAnsi="黑体" w:eastAsia="仿宋_GB2312"/>
          <w:sz w:val="32"/>
          <w:szCs w:val="32"/>
          <w:lang w:val="en-US" w:eastAsia="zh-CN"/>
        </w:rPr>
        <w:t>品</w:t>
      </w:r>
      <w:r>
        <w:rPr>
          <w:rFonts w:hint="eastAsia" w:ascii="仿宋_GB2312" w:hAnsi="黑体" w:eastAsia="仿宋_GB2312"/>
          <w:sz w:val="32"/>
          <w:szCs w:val="32"/>
        </w:rPr>
        <w:t>安全，师生满意度达95％以上。</w:t>
      </w:r>
      <w:r>
        <w:rPr>
          <w:rFonts w:hint="eastAsia" w:ascii="仿宋_GB2312" w:hAnsi="黑体" w:eastAsia="仿宋_GB2312"/>
          <w:sz w:val="32"/>
          <w:szCs w:val="32"/>
        </w:rPr>
        <w:br w:type="textWrapping"/>
      </w:r>
      <w:r>
        <w:rPr>
          <w:rFonts w:hint="eastAsia" w:ascii="仿宋_GB2312" w:hAnsi="黑体" w:eastAsia="仿宋_GB2312"/>
          <w:sz w:val="32"/>
          <w:szCs w:val="32"/>
        </w:rPr>
        <w:t>2.通过党建工作经费的投入，保障学校党组织工作的开展，加强全校师生的党风廉政教育和党纪国法教育，师生满意度95％以上。</w:t>
      </w:r>
    </w:p>
    <w:p>
      <w:pPr>
        <w:ind w:firstLine="640" w:firstLineChars="200"/>
        <w:rPr>
          <w:rFonts w:ascii="仿宋_GB2312" w:hAnsi="黑体" w:eastAsia="仿宋_GB2312"/>
          <w:sz w:val="32"/>
          <w:szCs w:val="32"/>
        </w:rPr>
      </w:pPr>
      <w:r>
        <w:rPr>
          <w:rFonts w:hint="eastAsia" w:ascii="仿宋_GB2312" w:hAnsi="黑体" w:eastAsia="仿宋_GB2312"/>
          <w:sz w:val="32"/>
          <w:szCs w:val="32"/>
        </w:rPr>
        <w:t>3.通过教学实验实习、体育耗材购置、文体活动、德育团队活动和教材及图书购置等教学支出经费的投入、保障我校教学工作的高质量开展，助力我校快速发展完善学校教学规程，提升教学教研工作的质量，丰富学生校园学习和生活，提升学生综合素质。</w:t>
      </w:r>
    </w:p>
    <w:p>
      <w:pPr>
        <w:ind w:firstLine="640" w:firstLineChars="200"/>
        <w:rPr>
          <w:rFonts w:ascii="仿宋_GB2312" w:hAnsi="黑体" w:eastAsia="仿宋_GB2312"/>
          <w:sz w:val="32"/>
          <w:szCs w:val="32"/>
        </w:rPr>
      </w:pPr>
      <w:r>
        <w:rPr>
          <w:rFonts w:hint="eastAsia" w:ascii="仿宋_GB2312" w:hAnsi="黑体" w:eastAsia="仿宋_GB2312"/>
          <w:sz w:val="32"/>
          <w:szCs w:val="32"/>
        </w:rPr>
        <w:t>4.通过教学设施设备购置及修缮资金的投入，依据实际需要进行校舍</w:t>
      </w:r>
      <w:r>
        <w:rPr>
          <w:rFonts w:hint="default" w:ascii="仿宋_GB2312" w:hAnsi="黑体" w:eastAsia="仿宋_GB2312"/>
          <w:sz w:val="32"/>
          <w:szCs w:val="32"/>
        </w:rPr>
        <w:t>修缮</w:t>
      </w:r>
      <w:r>
        <w:rPr>
          <w:rFonts w:hint="eastAsia" w:ascii="仿宋_GB2312" w:hAnsi="黑体" w:eastAsia="仿宋_GB2312"/>
          <w:sz w:val="32"/>
          <w:szCs w:val="32"/>
        </w:rPr>
        <w:t>和设备购置，确保学校教育教学工作的顺利开展:教学楼及设备使用率达到95％以上。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sz w:val="32"/>
          <w:szCs w:val="32"/>
        </w:rPr>
        <w:t>5.通过学生体检、书杂费及教辅图书购置等学生经费的投入，保障并关注学生的健康，促进学生综合能力提高以及丰富学生的精神世界。</w:t>
      </w:r>
      <w:r>
        <w:rPr>
          <w:rFonts w:hint="eastAsia" w:ascii="仿宋_GB2312" w:hAnsi="黑体" w:eastAsia="仿宋_GB2312"/>
          <w:sz w:val="32"/>
          <w:szCs w:val="32"/>
        </w:rPr>
        <w:br w:type="textWrapping"/>
      </w:r>
      <w:r>
        <w:rPr>
          <w:rFonts w:hint="eastAsia" w:ascii="仿宋_GB2312" w:hAnsi="黑体" w:eastAsia="仿宋_GB2312"/>
          <w:sz w:val="32"/>
          <w:szCs w:val="32"/>
        </w:rPr>
        <w:t xml:space="preserve">    6.通过校园文化建设、校园管理、校园</w:t>
      </w:r>
      <w:r>
        <w:rPr>
          <w:rFonts w:hint="eastAsia" w:ascii="仿宋_GB2312" w:hAnsi="黑体" w:eastAsia="仿宋_GB2312"/>
          <w:sz w:val="32"/>
          <w:szCs w:val="32"/>
          <w:lang w:val="en-US" w:eastAsia="zh-CN"/>
        </w:rPr>
        <w:t>修缮</w:t>
      </w:r>
      <w:r>
        <w:rPr>
          <w:rFonts w:hint="eastAsia" w:ascii="仿宋_GB2312" w:hAnsi="黑体" w:eastAsia="仿宋_GB2312"/>
          <w:sz w:val="32"/>
          <w:szCs w:val="32"/>
        </w:rPr>
        <w:t>等各项配套设施设备采购和校园提升项目的开展，完善学校环境、安全、文化等规划配套和基础设施，保障全校师生优质的校园环境，加强校园文化建设，助力学校特色发展。</w:t>
      </w:r>
      <w:r>
        <w:rPr>
          <w:rFonts w:hint="eastAsia" w:ascii="仿宋_GB2312" w:hAnsi="黑体" w:eastAsia="仿宋_GB2312"/>
          <w:sz w:val="32"/>
          <w:szCs w:val="32"/>
        </w:rPr>
        <w:br w:type="textWrapping"/>
      </w:r>
      <w:r>
        <w:rPr>
          <w:rFonts w:hint="eastAsia" w:ascii="仿宋_GB2312" w:hAnsi="黑体" w:eastAsia="仿宋_GB2312"/>
          <w:sz w:val="32"/>
          <w:szCs w:val="32"/>
        </w:rPr>
        <w:t xml:space="preserve">    7.通过四点半活动经费的投入，开展四点半活动，开设特色课程，促进学生综合素养的提升。</w:t>
      </w:r>
      <w:r>
        <w:rPr>
          <w:rFonts w:hint="eastAsia" w:ascii="仿宋_GB2312" w:hAnsi="黑体" w:eastAsia="仿宋_GB2312"/>
          <w:sz w:val="32"/>
          <w:szCs w:val="32"/>
        </w:rPr>
        <w:br w:type="textWrapping"/>
      </w:r>
      <w:r>
        <w:rPr>
          <w:rFonts w:hint="default" w:ascii="仿宋_GB2312" w:hAnsi="黑体" w:eastAsia="仿宋_GB2312"/>
          <w:sz w:val="32"/>
          <w:szCs w:val="32"/>
        </w:rPr>
        <w:t xml:space="preserve">    </w:t>
      </w:r>
      <w:r>
        <w:rPr>
          <w:rFonts w:hint="eastAsia" w:ascii="仿宋_GB2312" w:hAnsi="黑体" w:eastAsia="仿宋_GB2312"/>
          <w:sz w:val="32"/>
          <w:szCs w:val="32"/>
        </w:rPr>
        <w:t>8.通过教育发展项目的开展，完成教师节慰问工作，提升教职工与校园的亲切程度，保证学校稳步发展。完成中小学午餐午休管理工作，完善学校管理，加快学校发展:开展理化生实验操作课程，提升学生理化生实操能力。</w:t>
      </w:r>
    </w:p>
    <w:p>
      <w:pPr>
        <w:ind w:firstLine="640" w:firstLineChars="200"/>
        <w:rPr>
          <w:rFonts w:ascii="仿宋_GB2312" w:hAnsi="黑体" w:eastAsia="仿宋_GB2312"/>
          <w:sz w:val="32"/>
          <w:szCs w:val="32"/>
        </w:rPr>
      </w:pPr>
      <w:r>
        <w:rPr>
          <w:rFonts w:hint="eastAsia" w:ascii="仿宋_GB2312" w:hAnsi="黑体" w:eastAsia="仿宋_GB2312"/>
          <w:sz w:val="32"/>
          <w:szCs w:val="32"/>
        </w:rPr>
        <w:t>9.通过校园疫情防控经费的投入，确保疫情工作措施精准有效，坚决严控疫情“输入”和“扩散”校园，全力做好联防联控各项工作。</w:t>
      </w:r>
    </w:p>
    <w:p>
      <w:pPr>
        <w:ind w:firstLine="640" w:firstLineChars="200"/>
        <w:rPr>
          <w:rFonts w:ascii="仿宋" w:hAnsi="仿宋" w:eastAsia="仿宋" w:cs="仿宋_GB2312"/>
          <w:sz w:val="32"/>
          <w:szCs w:val="32"/>
        </w:rPr>
      </w:pPr>
      <w:r>
        <w:rPr>
          <w:rFonts w:hint="eastAsia" w:ascii="仿宋_GB2312" w:hAnsi="黑体" w:eastAsia="仿宋_GB2312"/>
          <w:sz w:val="32"/>
          <w:szCs w:val="32"/>
        </w:rPr>
        <w:t>10.通过预算准备金的储备，确保学校其他预算外必需项目的开展，保障学校的正常运行。</w:t>
      </w:r>
    </w:p>
    <w:p>
      <w:pPr>
        <w:ind w:firstLine="480" w:firstLineChars="150"/>
        <w:rPr>
          <w:rFonts w:ascii="楷体" w:hAnsi="楷体" w:eastAsia="楷体"/>
          <w:bCs/>
          <w:sz w:val="32"/>
          <w:szCs w:val="32"/>
        </w:rPr>
      </w:pPr>
      <w:r>
        <w:rPr>
          <w:rFonts w:hint="eastAsia" w:ascii="楷体" w:hAnsi="楷体" w:eastAsia="楷体"/>
          <w:bCs/>
          <w:sz w:val="32"/>
          <w:szCs w:val="32"/>
        </w:rPr>
        <w:t>（三）2020年部门预算编制情况。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1.部门预算编制合理规范。我校按照新区发展和财政局、新区教育和卫生健康局有关预算编制管理规定的要求，紧密结合部门职能，开展2020年部门预算编制工作，按照收支平衡、保障重点的原则，合理编制部门预算。</w:t>
      </w:r>
    </w:p>
    <w:p>
      <w:pPr>
        <w:ind w:firstLine="640" w:firstLineChars="200"/>
        <w:rPr>
          <w:rFonts w:ascii="仿宋_GB2312" w:hAnsi="黑体" w:eastAsia="仿宋_GB2312"/>
          <w:sz w:val="32"/>
          <w:szCs w:val="32"/>
        </w:rPr>
      </w:pPr>
      <w:r>
        <w:rPr>
          <w:rFonts w:hint="eastAsia" w:ascii="仿宋_GB2312" w:hAnsi="黑体" w:eastAsia="仿宋_GB2312"/>
          <w:sz w:val="32"/>
          <w:szCs w:val="32"/>
        </w:rPr>
        <w:t>我校预算编制主要是根据年度工作目标、重点任务，参考上年度预算执行情况及本年度收支预测情况进行开展。各业务部门编制预算项目的具体内容并提供预算编制依据，校办公室作为预算绩效归口管理部门负责汇总审核编制的预算，综合平衡预算收支，提出预算支出的重点与安排建议，形成年度建议预算数,由校领导会议审议通过后报新区教育和卫生健康局。</w:t>
      </w:r>
    </w:p>
    <w:p>
      <w:pPr>
        <w:ind w:firstLine="640" w:firstLineChars="200"/>
        <w:rPr>
          <w:rFonts w:ascii="仿宋_GB2312" w:hAnsi="黑体" w:eastAsia="仿宋_GB2312"/>
          <w:sz w:val="32"/>
          <w:szCs w:val="32"/>
        </w:rPr>
      </w:pPr>
      <w:r>
        <w:rPr>
          <w:rFonts w:hint="eastAsia" w:ascii="仿宋_GB2312" w:hAnsi="黑体" w:eastAsia="仿宋_GB2312"/>
          <w:sz w:val="32"/>
          <w:szCs w:val="32"/>
        </w:rPr>
        <w:t>2020年我校预算编制和分配符合本部门职责、符合新区党工委、管委会和新区教育和卫生健康局，的方针政策和工作要求，部门预算资金能根据年度工作重点，在不同项目、不同用途之间分配合理，部门预算分配不固化，能根据实际情况在同一项目内合理调整。</w:t>
      </w:r>
    </w:p>
    <w:p>
      <w:pPr>
        <w:ind w:firstLine="640" w:firstLineChars="200"/>
        <w:rPr>
          <w:rFonts w:ascii="仿宋_GB2312" w:hAnsi="黑体" w:eastAsia="仿宋_GB2312"/>
          <w:sz w:val="32"/>
          <w:szCs w:val="32"/>
        </w:rPr>
      </w:pPr>
      <w:r>
        <w:rPr>
          <w:rFonts w:hint="eastAsia" w:ascii="仿宋_GB2312" w:hAnsi="黑体" w:eastAsia="仿宋_GB2312"/>
          <w:bCs/>
          <w:sz w:val="32"/>
          <w:szCs w:val="32"/>
        </w:rPr>
        <w:t>2.绩效目标设置完整明确。</w:t>
      </w:r>
      <w:r>
        <w:rPr>
          <w:rFonts w:hint="eastAsia" w:ascii="仿宋_GB2312" w:hAnsi="黑体" w:eastAsia="仿宋_GB2312"/>
          <w:sz w:val="32"/>
          <w:szCs w:val="32"/>
        </w:rPr>
        <w:t>根据新区发展和财政局和新区教育和卫生健康局2020年预算绩效管理工作安排，我校将所有项目支出纳入部门预算绩效管理并编制预算绩效目标，项目在申报预算建议数时，同时填报《项目支出绩效目标申报表》，且分别从项目设立依据、项目申报必要性、项目申报可行性三个方面阐述项目立项情况，并明确了项目的年度目标和中长期目标。</w:t>
      </w:r>
    </w:p>
    <w:p>
      <w:pPr>
        <w:ind w:firstLine="640" w:firstLineChars="200"/>
        <w:rPr>
          <w:rFonts w:ascii="仿宋_GB2312" w:hAnsi="黑体" w:eastAsia="仿宋_GB2312"/>
          <w:sz w:val="32"/>
          <w:szCs w:val="32"/>
        </w:rPr>
      </w:pPr>
      <w:r>
        <w:rPr>
          <w:rFonts w:hint="eastAsia" w:ascii="仿宋_GB2312" w:hAnsi="黑体" w:eastAsia="仿宋_GB2312"/>
          <w:sz w:val="32"/>
          <w:szCs w:val="32"/>
        </w:rPr>
        <w:t>同时，按照财政部门预算绩效管理工作要求，我校在开展 2020年绩效自评工作前，将所有部门预算项目补充完善绩效目标设置，分别从产出目标和效益目标两方面设置了三级指标，根据工作计划、行业标准、历史标准等定性定量明确了指标目标值，实现绩效目标全覆盖，同时根据部门职责，合理设置部门整体个性化绩效指标。绩效目标设置完整、明确，符合我校履职要求，能够体现我校履职效果，绩效目标的目标值测算符合客观实际情况。</w:t>
      </w:r>
    </w:p>
    <w:p>
      <w:pPr>
        <w:ind w:firstLine="420"/>
        <w:rPr>
          <w:rFonts w:ascii="楷体" w:hAnsi="楷体" w:eastAsia="楷体"/>
          <w:bCs/>
          <w:sz w:val="32"/>
          <w:szCs w:val="32"/>
        </w:rPr>
      </w:pPr>
      <w:r>
        <w:rPr>
          <w:rFonts w:hint="eastAsia" w:ascii="楷体" w:hAnsi="楷体" w:eastAsia="楷体"/>
          <w:bCs/>
          <w:sz w:val="32"/>
          <w:szCs w:val="32"/>
        </w:rPr>
        <w:t>（四）2020年部门预算执行情况。</w:t>
      </w:r>
    </w:p>
    <w:p>
      <w:pPr>
        <w:spacing w:line="360" w:lineRule="auto"/>
        <w:ind w:firstLine="640" w:firstLineChars="200"/>
        <w:rPr>
          <w:rFonts w:ascii="仿宋_GB2312" w:eastAsia="仿宋_GB2312"/>
          <w:bCs/>
          <w:color w:val="000000"/>
          <w:kern w:val="0"/>
          <w:sz w:val="32"/>
          <w:szCs w:val="32"/>
        </w:rPr>
      </w:pPr>
      <w:r>
        <w:rPr>
          <w:rFonts w:ascii="仿宋_GB2312" w:eastAsia="仿宋_GB2312"/>
          <w:bCs/>
          <w:color w:val="000000"/>
          <w:kern w:val="0"/>
          <w:sz w:val="32"/>
          <w:szCs w:val="32"/>
        </w:rPr>
        <w:t>1.</w:t>
      </w:r>
      <w:r>
        <w:rPr>
          <w:rFonts w:hint="eastAsia" w:ascii="仿宋_GB2312" w:eastAsia="仿宋_GB2312"/>
          <w:bCs/>
          <w:color w:val="000000"/>
          <w:kern w:val="0"/>
          <w:sz w:val="32"/>
          <w:szCs w:val="32"/>
        </w:rPr>
        <w:t>资金管理</w:t>
      </w:r>
    </w:p>
    <w:p>
      <w:pPr>
        <w:spacing w:line="360" w:lineRule="auto"/>
        <w:ind w:firstLine="640" w:firstLineChars="200"/>
        <w:rPr>
          <w:rFonts w:ascii="仿宋_GB2312" w:eastAsia="仿宋_GB2312"/>
          <w:bCs/>
          <w:color w:val="000000"/>
          <w:kern w:val="0"/>
          <w:sz w:val="32"/>
          <w:szCs w:val="32"/>
        </w:rPr>
      </w:pPr>
      <w:r>
        <w:rPr>
          <w:rFonts w:hint="eastAsia" w:ascii="仿宋_GB2312" w:eastAsia="仿宋_GB2312"/>
          <w:bCs/>
          <w:color w:val="000000"/>
          <w:kern w:val="0"/>
          <w:sz w:val="32"/>
          <w:szCs w:val="32"/>
        </w:rPr>
        <w:t>（</w:t>
      </w:r>
      <w:r>
        <w:rPr>
          <w:rFonts w:ascii="仿宋_GB2312" w:eastAsia="仿宋_GB2312"/>
          <w:bCs/>
          <w:color w:val="000000"/>
          <w:kern w:val="0"/>
          <w:sz w:val="32"/>
          <w:szCs w:val="32"/>
        </w:rPr>
        <w:t>1</w:t>
      </w:r>
      <w:r>
        <w:rPr>
          <w:rFonts w:hint="eastAsia" w:ascii="仿宋_GB2312" w:eastAsia="仿宋_GB2312"/>
          <w:bCs/>
          <w:color w:val="000000"/>
          <w:kern w:val="0"/>
          <w:sz w:val="32"/>
          <w:szCs w:val="32"/>
        </w:rPr>
        <w:t>）资金预算、支出及结余结转情况</w:t>
      </w:r>
    </w:p>
    <w:p>
      <w:pPr>
        <w:spacing w:line="360" w:lineRule="auto"/>
        <w:ind w:firstLine="640" w:firstLineChars="200"/>
        <w:rPr>
          <w:rFonts w:ascii="仿宋_GB2312" w:eastAsia="仿宋_GB2312"/>
          <w:color w:val="000000"/>
          <w:kern w:val="0"/>
          <w:sz w:val="32"/>
          <w:szCs w:val="32"/>
        </w:rPr>
      </w:pPr>
      <w:bookmarkStart w:id="0" w:name="_Hlk50046743"/>
      <w:r>
        <w:rPr>
          <w:rFonts w:ascii="仿宋_GB2312" w:eastAsia="仿宋_GB2312"/>
          <w:color w:val="000000"/>
          <w:kern w:val="0"/>
          <w:sz w:val="32"/>
          <w:szCs w:val="32"/>
        </w:rPr>
        <w:t>2020</w:t>
      </w:r>
      <w:r>
        <w:rPr>
          <w:rFonts w:hint="eastAsia" w:ascii="仿宋_GB2312" w:eastAsia="仿宋_GB2312"/>
          <w:color w:val="000000"/>
          <w:kern w:val="0"/>
          <w:sz w:val="32"/>
          <w:szCs w:val="32"/>
        </w:rPr>
        <w:t>年我校年初预算收入总额为</w:t>
      </w:r>
      <w:r>
        <w:rPr>
          <w:rFonts w:ascii="仿宋_GB2312" w:hAnsi="仿宋" w:eastAsia="仿宋_GB2312"/>
          <w:color w:val="000000"/>
          <w:sz w:val="32"/>
          <w:szCs w:val="32"/>
        </w:rPr>
        <w:t>5823</w:t>
      </w:r>
      <w:r>
        <w:rPr>
          <w:rFonts w:hint="eastAsia" w:ascii="仿宋_GB2312" w:hAnsi="仿宋" w:eastAsia="仿宋_GB2312"/>
          <w:color w:val="000000"/>
          <w:sz w:val="32"/>
          <w:szCs w:val="32"/>
        </w:rPr>
        <w:t>.</w:t>
      </w:r>
      <w:r>
        <w:rPr>
          <w:rFonts w:ascii="仿宋_GB2312" w:hAnsi="仿宋" w:eastAsia="仿宋_GB2312"/>
          <w:color w:val="000000"/>
          <w:sz w:val="32"/>
          <w:szCs w:val="32"/>
        </w:rPr>
        <w:t>92</w:t>
      </w:r>
      <w:r>
        <w:rPr>
          <w:rFonts w:hint="eastAsia" w:ascii="仿宋_GB2312" w:eastAsia="仿宋_GB2312"/>
          <w:color w:val="000000"/>
          <w:kern w:val="0"/>
          <w:sz w:val="32"/>
          <w:szCs w:val="32"/>
        </w:rPr>
        <w:t>万元，年中经调整预算为</w:t>
      </w:r>
      <w:r>
        <w:rPr>
          <w:rFonts w:ascii="仿宋_GB2312" w:eastAsia="仿宋_GB2312"/>
          <w:color w:val="000000"/>
          <w:kern w:val="0"/>
          <w:sz w:val="32"/>
          <w:szCs w:val="32"/>
        </w:rPr>
        <w:t>6434</w:t>
      </w:r>
      <w:r>
        <w:rPr>
          <w:rFonts w:hint="eastAsia" w:ascii="仿宋_GB2312" w:eastAsia="仿宋_GB2312"/>
          <w:color w:val="000000"/>
          <w:kern w:val="0"/>
          <w:sz w:val="32"/>
          <w:szCs w:val="32"/>
        </w:rPr>
        <w:t>.</w:t>
      </w:r>
      <w:r>
        <w:rPr>
          <w:rFonts w:ascii="仿宋_GB2312" w:eastAsia="仿宋_GB2312"/>
          <w:color w:val="000000"/>
          <w:kern w:val="0"/>
          <w:sz w:val="32"/>
          <w:szCs w:val="32"/>
        </w:rPr>
        <w:t>35</w:t>
      </w:r>
      <w:r>
        <w:rPr>
          <w:rFonts w:hint="eastAsia" w:ascii="仿宋_GB2312" w:eastAsia="仿宋_GB2312"/>
          <w:color w:val="000000"/>
          <w:kern w:val="0"/>
          <w:sz w:val="32"/>
          <w:szCs w:val="32"/>
        </w:rPr>
        <w:t>万元，</w:t>
      </w:r>
      <w:r>
        <w:rPr>
          <w:rFonts w:hint="eastAsia" w:ascii="仿宋_GB2312" w:hAnsi="仿宋" w:eastAsia="仿宋_GB2312"/>
          <w:color w:val="000000"/>
          <w:sz w:val="32"/>
          <w:szCs w:val="32"/>
        </w:rPr>
        <w:t>其中：一般公共预算财政拨款收入6418.98万元,政府性基金预算财政拨款收入15万元,其他收入0.38万元。</w:t>
      </w:r>
      <w:r>
        <w:rPr>
          <w:rFonts w:hint="eastAsia" w:ascii="仿宋_GB2312" w:eastAsia="仿宋_GB2312"/>
          <w:color w:val="000000"/>
          <w:kern w:val="0"/>
          <w:sz w:val="32"/>
          <w:szCs w:val="32"/>
        </w:rPr>
        <w:t>全年决算支出6434.58万元，其中基本支出3361.12万元，项目支出3073.46万元。年末结转和结余0.26万元。年度预算执行率为100%</w:t>
      </w:r>
      <w:r>
        <w:rPr>
          <w:rFonts w:hint="eastAsia" w:ascii="仿宋_GB2312" w:eastAsia="仿宋_GB2312"/>
          <w:color w:val="000000" w:themeColor="text1"/>
          <w:kern w:val="0"/>
          <w:sz w:val="32"/>
          <w:szCs w:val="32"/>
        </w:rPr>
        <w:t>。</w:t>
      </w:r>
      <w:bookmarkEnd w:id="0"/>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w:t>
      </w:r>
      <w:r>
        <w:rPr>
          <w:rFonts w:ascii="仿宋_GB2312" w:eastAsia="仿宋_GB2312"/>
          <w:color w:val="000000"/>
          <w:kern w:val="0"/>
          <w:sz w:val="32"/>
          <w:szCs w:val="32"/>
        </w:rPr>
        <w:t>2</w:t>
      </w:r>
      <w:r>
        <w:rPr>
          <w:rFonts w:hint="eastAsia" w:ascii="仿宋_GB2312" w:eastAsia="仿宋_GB2312"/>
          <w:color w:val="000000"/>
          <w:kern w:val="0"/>
          <w:sz w:val="32"/>
          <w:szCs w:val="32"/>
        </w:rPr>
        <w:t>）政府采购执行率</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我校采购管理严格按照财政部门、街道办等外部规章制度及单位内部管理要求实施政府采购，提高政府采购效率，促进廉政建设，政府采购政策功能的执行和落实情况良好。</w:t>
      </w:r>
      <w:r>
        <w:rPr>
          <w:rFonts w:ascii="仿宋_GB2312" w:eastAsia="仿宋_GB2312"/>
          <w:color w:val="000000"/>
          <w:kern w:val="0"/>
          <w:sz w:val="32"/>
          <w:szCs w:val="32"/>
        </w:rPr>
        <w:t>2020</w:t>
      </w:r>
      <w:r>
        <w:rPr>
          <w:rFonts w:hint="eastAsia" w:ascii="仿宋_GB2312" w:eastAsia="仿宋_GB2312"/>
          <w:color w:val="000000"/>
          <w:kern w:val="0"/>
          <w:sz w:val="32"/>
          <w:szCs w:val="32"/>
        </w:rPr>
        <w:t>年我校无政府采购预算,当年也无政府采购支出发生。</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w:t>
      </w:r>
      <w:r>
        <w:rPr>
          <w:rFonts w:ascii="仿宋_GB2312" w:eastAsia="仿宋_GB2312"/>
          <w:color w:val="000000"/>
          <w:kern w:val="0"/>
          <w:sz w:val="32"/>
          <w:szCs w:val="32"/>
        </w:rPr>
        <w:t>3</w:t>
      </w:r>
      <w:r>
        <w:rPr>
          <w:rFonts w:hint="eastAsia" w:ascii="仿宋_GB2312" w:eastAsia="仿宋_GB2312"/>
          <w:color w:val="000000"/>
          <w:kern w:val="0"/>
          <w:sz w:val="32"/>
          <w:szCs w:val="32"/>
        </w:rPr>
        <w:t>）财务合规性</w:t>
      </w:r>
    </w:p>
    <w:p>
      <w:pPr>
        <w:spacing w:line="360" w:lineRule="auto"/>
        <w:ind w:firstLine="640" w:firstLineChars="200"/>
        <w:rPr>
          <w:rFonts w:ascii="仿宋_GB2312" w:eastAsia="仿宋_GB2312"/>
          <w:kern w:val="0"/>
          <w:sz w:val="32"/>
          <w:szCs w:val="32"/>
        </w:rPr>
      </w:pPr>
      <w:r>
        <w:rPr>
          <w:rFonts w:hint="eastAsia" w:ascii="仿宋_GB2312" w:eastAsia="仿宋_GB2312"/>
          <w:kern w:val="0"/>
          <w:sz w:val="32"/>
          <w:szCs w:val="32"/>
        </w:rPr>
        <w:t>结合我校内部管理要求及本次绩效自评工作业务自查，我校资金支出规范，资金管理、费用标准、支付严格按照预算批复、业务需求及相关财务制度规定执行，无超范围、超标准支出，不存在截留、挤占、挪用项目资金情况。预算执行规范，按规定履行预算调整报批手续，调整、调剂资金。我校年中调整、调剂资金为48.22万元，累计占我校部门预算总规模0.75</w:t>
      </w:r>
      <w:r>
        <w:rPr>
          <w:rFonts w:ascii="仿宋_GB2312" w:eastAsia="仿宋_GB2312"/>
          <w:kern w:val="0"/>
          <w:sz w:val="32"/>
          <w:szCs w:val="32"/>
        </w:rPr>
        <w:t>%</w:t>
      </w:r>
      <w:r>
        <w:rPr>
          <w:rFonts w:hint="eastAsia" w:ascii="仿宋_GB2312" w:eastAsia="仿宋_GB2312"/>
          <w:kern w:val="0"/>
          <w:sz w:val="32"/>
          <w:szCs w:val="32"/>
        </w:rPr>
        <w:t>，我校预算调整调剂严格按照规定的程序和审批权限报预算管理员及财政部门审批的情况。会计核算制度执行规范，不存在支出依据不合规、虚列项目支出的情况，重大项目支出经过前期评估论证，未出现超预算、无预算支出，或擅自改变预算支出用途和我校领导班子会议研究决定。</w:t>
      </w:r>
    </w:p>
    <w:p>
      <w:pPr>
        <w:spacing w:line="360" w:lineRule="auto"/>
        <w:ind w:firstLine="640" w:firstLineChars="200"/>
        <w:rPr>
          <w:rFonts w:ascii="仿宋_GB2312" w:eastAsia="仿宋_GB2312"/>
          <w:color w:val="000000"/>
          <w:kern w:val="0"/>
          <w:sz w:val="32"/>
          <w:szCs w:val="32"/>
        </w:rPr>
      </w:pPr>
      <w:r>
        <w:rPr>
          <w:rFonts w:ascii="仿宋_GB2312" w:eastAsia="仿宋_GB2312"/>
          <w:color w:val="000000"/>
          <w:kern w:val="0"/>
          <w:sz w:val="32"/>
          <w:szCs w:val="32"/>
        </w:rPr>
        <w:t>3.</w:t>
      </w:r>
      <w:r>
        <w:rPr>
          <w:rFonts w:hint="eastAsia" w:ascii="仿宋_GB2312" w:eastAsia="仿宋_GB2312"/>
          <w:color w:val="000000"/>
          <w:kern w:val="0"/>
          <w:sz w:val="32"/>
          <w:szCs w:val="32"/>
        </w:rPr>
        <w:t>预决算信息公开</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根据新区教育和卫生健康局关于预算公开要求，新区教育和卫生健康局</w:t>
      </w:r>
      <w:r>
        <w:rPr>
          <w:rFonts w:ascii="仿宋_GB2312" w:eastAsia="仿宋_GB2312"/>
          <w:color w:val="000000"/>
          <w:kern w:val="0"/>
          <w:sz w:val="32"/>
          <w:szCs w:val="32"/>
        </w:rPr>
        <w:t>将汇总本部门及所属各单位的预算，按有关要求在</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rPr>
        <w:t>大鹏新区</w:t>
      </w:r>
      <w:r>
        <w:rPr>
          <w:rFonts w:ascii="仿宋_GB2312" w:eastAsia="仿宋_GB2312"/>
          <w:color w:val="000000"/>
          <w:kern w:val="0"/>
          <w:sz w:val="32"/>
          <w:szCs w:val="32"/>
        </w:rPr>
        <w:t>政府在线</w:t>
      </w:r>
      <w:r>
        <w:rPr>
          <w:rFonts w:hint="eastAsia" w:ascii="仿宋_GB2312" w:eastAsia="仿宋_GB2312"/>
          <w:color w:val="000000"/>
          <w:kern w:val="0"/>
          <w:sz w:val="32"/>
          <w:szCs w:val="32"/>
          <w:lang w:eastAsia="zh-CN"/>
        </w:rPr>
        <w:t>”</w:t>
      </w:r>
      <w:r>
        <w:rPr>
          <w:rFonts w:ascii="仿宋_GB2312" w:eastAsia="仿宋_GB2312"/>
          <w:color w:val="000000"/>
          <w:kern w:val="0"/>
          <w:sz w:val="32"/>
          <w:szCs w:val="32"/>
        </w:rPr>
        <w:t>门户网站进行公开</w:t>
      </w:r>
      <w:r>
        <w:rPr>
          <w:rFonts w:hint="eastAsia" w:ascii="仿宋_GB2312" w:eastAsia="仿宋_GB2312"/>
          <w:color w:val="000000"/>
          <w:kern w:val="0"/>
          <w:sz w:val="32"/>
          <w:szCs w:val="32"/>
        </w:rPr>
        <w:t>。故我校预决算数据由新区教育和卫生健康局汇总后统一进行公开公示。新区教育和卫生健康局已于</w:t>
      </w:r>
      <w:r>
        <w:rPr>
          <w:rFonts w:ascii="仿宋_GB2312" w:eastAsia="仿宋_GB2312"/>
          <w:color w:val="000000"/>
          <w:kern w:val="0"/>
          <w:sz w:val="32"/>
          <w:szCs w:val="32"/>
        </w:rPr>
        <w:t>2020</w:t>
      </w:r>
      <w:r>
        <w:rPr>
          <w:rFonts w:hint="eastAsia" w:ascii="仿宋_GB2312" w:eastAsia="仿宋_GB2312"/>
          <w:color w:val="000000"/>
          <w:kern w:val="0"/>
          <w:sz w:val="32"/>
          <w:szCs w:val="32"/>
        </w:rPr>
        <w:t>年</w:t>
      </w:r>
      <w:r>
        <w:rPr>
          <w:rFonts w:ascii="仿宋_GB2312" w:eastAsia="仿宋_GB2312"/>
          <w:color w:val="000000"/>
          <w:kern w:val="0"/>
          <w:sz w:val="32"/>
          <w:szCs w:val="32"/>
        </w:rPr>
        <w:t>2</w:t>
      </w:r>
      <w:r>
        <w:rPr>
          <w:rFonts w:hint="eastAsia" w:ascii="仿宋_GB2312" w:eastAsia="仿宋_GB2312"/>
          <w:color w:val="000000"/>
          <w:kern w:val="0"/>
          <w:sz w:val="32"/>
          <w:szCs w:val="32"/>
        </w:rPr>
        <w:t>月7日通过深圳市大鹏新区政府在线-“信息公开”</w:t>
      </w:r>
      <w:r>
        <w:rPr>
          <w:rFonts w:ascii="仿宋_GB2312" w:eastAsia="仿宋_GB2312"/>
          <w:color w:val="000000"/>
          <w:kern w:val="0"/>
          <w:sz w:val="32"/>
          <w:szCs w:val="32"/>
        </w:rPr>
        <w:t>-</w:t>
      </w:r>
      <w:r>
        <w:rPr>
          <w:rFonts w:hint="eastAsia" w:ascii="仿宋_GB2312" w:eastAsia="仿宋_GB2312"/>
          <w:color w:val="000000"/>
          <w:kern w:val="0"/>
          <w:sz w:val="32"/>
          <w:szCs w:val="32"/>
        </w:rPr>
        <w:t>“区政府信息公开”</w:t>
      </w:r>
      <w:r>
        <w:rPr>
          <w:rFonts w:ascii="仿宋_GB2312" w:eastAsia="仿宋_GB2312"/>
          <w:color w:val="000000"/>
          <w:kern w:val="0"/>
          <w:sz w:val="32"/>
          <w:szCs w:val="32"/>
        </w:rPr>
        <w:t>-</w:t>
      </w:r>
      <w:r>
        <w:rPr>
          <w:rFonts w:hint="eastAsia" w:ascii="仿宋_GB2312" w:eastAsia="仿宋_GB2312"/>
          <w:color w:val="000000"/>
          <w:kern w:val="0"/>
          <w:sz w:val="32"/>
          <w:szCs w:val="32"/>
        </w:rPr>
        <w:t>“资金信息”</w:t>
      </w:r>
      <w:r>
        <w:rPr>
          <w:rFonts w:ascii="仿宋_GB2312" w:eastAsia="仿宋_GB2312"/>
          <w:color w:val="000000"/>
          <w:kern w:val="0"/>
          <w:sz w:val="32"/>
          <w:szCs w:val="32"/>
        </w:rPr>
        <w:t>-</w:t>
      </w:r>
      <w:r>
        <w:rPr>
          <w:rFonts w:hint="eastAsia" w:ascii="仿宋_GB2312" w:eastAsia="仿宋_GB2312"/>
          <w:color w:val="000000"/>
          <w:kern w:val="0"/>
          <w:sz w:val="32"/>
          <w:szCs w:val="32"/>
        </w:rPr>
        <w:t>“部门预决算”栏向社会公开了《</w:t>
      </w:r>
      <w:r>
        <w:fldChar w:fldCharType="begin"/>
      </w:r>
      <w:r>
        <w:instrText xml:space="preserve"> HYPERLINK "http://www.dpxq.gov.cn/dpjywsjkj/attachment/0/421/421408/6862549.pdf" \t "_blank" </w:instrText>
      </w:r>
      <w:r>
        <w:fldChar w:fldCharType="separate"/>
      </w:r>
      <w:r>
        <w:rPr>
          <w:rFonts w:hint="eastAsia" w:ascii="仿宋_GB2312" w:eastAsia="仿宋_GB2312"/>
          <w:color w:val="000000"/>
          <w:kern w:val="0"/>
          <w:sz w:val="32"/>
          <w:szCs w:val="32"/>
        </w:rPr>
        <w:t>2020年深圳市大鹏新区教育和卫生健康局部门预</w:t>
      </w:r>
      <w:r>
        <w:rPr>
          <w:rFonts w:hint="eastAsia" w:ascii="仿宋_GB2312" w:eastAsia="仿宋_GB2312"/>
          <w:color w:val="000000"/>
          <w:kern w:val="0"/>
          <w:sz w:val="32"/>
          <w:szCs w:val="32"/>
        </w:rPr>
        <w:fldChar w:fldCharType="end"/>
      </w:r>
      <w:r>
        <w:rPr>
          <w:rFonts w:hint="eastAsia" w:ascii="仿宋_GB2312" w:eastAsia="仿宋_GB2312"/>
          <w:color w:val="000000"/>
          <w:kern w:val="0"/>
          <w:sz w:val="32"/>
          <w:szCs w:val="32"/>
        </w:rPr>
        <w:t>算》，2020年决算情况根据新区教育和卫生健康局相关规定进行公开公示。</w:t>
      </w:r>
    </w:p>
    <w:p>
      <w:pPr>
        <w:spacing w:line="360" w:lineRule="auto"/>
        <w:ind w:firstLine="640" w:firstLineChars="200"/>
        <w:rPr>
          <w:rFonts w:ascii="仿宋_GB2312" w:eastAsia="仿宋_GB2312"/>
          <w:color w:val="000000"/>
          <w:kern w:val="0"/>
          <w:sz w:val="32"/>
          <w:szCs w:val="32"/>
        </w:rPr>
      </w:pPr>
      <w:r>
        <w:rPr>
          <w:rFonts w:ascii="仿宋_GB2312" w:eastAsia="仿宋_GB2312"/>
          <w:color w:val="000000"/>
          <w:kern w:val="0"/>
          <w:sz w:val="32"/>
          <w:szCs w:val="32"/>
        </w:rPr>
        <w:t>4.</w:t>
      </w:r>
      <w:r>
        <w:rPr>
          <w:rFonts w:hint="eastAsia" w:ascii="仿宋_GB2312" w:eastAsia="仿宋_GB2312"/>
          <w:color w:val="000000"/>
          <w:kern w:val="0"/>
          <w:sz w:val="32"/>
          <w:szCs w:val="32"/>
        </w:rPr>
        <w:t>项目管理</w:t>
      </w:r>
    </w:p>
    <w:p>
      <w:pPr>
        <w:spacing w:line="360" w:lineRule="auto"/>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2020年我校预算项目包括“四点半活动区级配套经费”“ 德育团队经费”“ 设备修缮维护经费”等15项项目支出，预算金额共计2061.29万元，我校对以上项目全部纳入预算绩效管理，设置并编报绩效目标。2020年我校项目实际支出共计3073.46万元,我校将根据有关规定和工作安排，</w:t>
      </w:r>
      <w:r>
        <w:rPr>
          <w:rFonts w:hint="eastAsia" w:ascii="仿宋_GB2312" w:hAnsi="仿宋_GB2312" w:eastAsia="仿宋_GB2312" w:cs="仿宋_GB2312"/>
          <w:sz w:val="32"/>
          <w:szCs w:val="44"/>
        </w:rPr>
        <w:t>根据2020年编制的项目支出绩效目标，结合2020年我校预算项目执行情况，认真收集评价基础数据和资料，相应项目支出金额开展支出绩效自评工作。</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校项目支出预算的安排与单位履职相符合，财政资金保障充足有效。项目的设立按规定履行报批程序，申报、批复程序符合相关管理办法，项目的招投标、项目支出、调整及完成验收等规范，项目验收均按规定履行相应手续。项目资金支出监管按我校财务管理规定在会计核算方面进行严格的审核支付管理，每月进行预算执行分析，年中执行预算绩效运行监控，对项目资金使用及绩效目标实现程度实行“双监控”，重点关注执行进度偏慢及绩效目标偏离较大的项目，督促项目负责人采取改进措施，同时常态化对项目进行专项或抽样性检查，及时监控发现问题马上督促整改，项目支出建立了有效的预算资金管理机制且执行情况良好。</w:t>
      </w:r>
    </w:p>
    <w:p>
      <w:pPr>
        <w:spacing w:line="360" w:lineRule="auto"/>
        <w:ind w:firstLine="640" w:firstLineChars="200"/>
        <w:rPr>
          <w:rFonts w:ascii="仿宋_GB2312" w:eastAsia="仿宋_GB2312"/>
          <w:color w:val="000000"/>
          <w:kern w:val="0"/>
          <w:sz w:val="32"/>
          <w:szCs w:val="32"/>
        </w:rPr>
      </w:pPr>
      <w:r>
        <w:rPr>
          <w:rFonts w:ascii="仿宋_GB2312" w:eastAsia="仿宋_GB2312"/>
          <w:color w:val="000000"/>
          <w:kern w:val="0"/>
          <w:sz w:val="32"/>
          <w:szCs w:val="32"/>
        </w:rPr>
        <w:t>5.</w:t>
      </w:r>
      <w:r>
        <w:rPr>
          <w:rFonts w:hint="eastAsia" w:ascii="仿宋_GB2312" w:eastAsia="仿宋_GB2312"/>
          <w:color w:val="000000"/>
          <w:kern w:val="0"/>
          <w:sz w:val="32"/>
          <w:szCs w:val="32"/>
        </w:rPr>
        <w:t>资产管理</w:t>
      </w:r>
    </w:p>
    <w:p>
      <w:pPr>
        <w:spacing w:line="360" w:lineRule="auto"/>
        <w:ind w:firstLine="640" w:firstLineChars="200"/>
        <w:rPr>
          <w:rFonts w:ascii="华文仿宋" w:hAnsi="华文仿宋" w:eastAsia="华文仿宋" w:cs="华文仿宋"/>
          <w:kern w:val="0"/>
          <w:sz w:val="32"/>
          <w:szCs w:val="32"/>
        </w:rPr>
      </w:pPr>
      <w:r>
        <w:rPr>
          <w:rFonts w:hint="eastAsia" w:ascii="仿宋_GB2312" w:eastAsia="仿宋_GB2312"/>
          <w:color w:val="000000"/>
          <w:kern w:val="0"/>
          <w:sz w:val="32"/>
          <w:szCs w:val="32"/>
        </w:rPr>
        <w:t>我校</w:t>
      </w:r>
      <w:r>
        <w:rPr>
          <w:rFonts w:ascii="仿宋_GB2312" w:eastAsia="仿宋_GB2312"/>
          <w:color w:val="000000"/>
          <w:kern w:val="0"/>
          <w:sz w:val="32"/>
          <w:szCs w:val="32"/>
        </w:rPr>
        <w:t>2020</w:t>
      </w:r>
      <w:r>
        <w:rPr>
          <w:rFonts w:hint="eastAsia" w:ascii="仿宋_GB2312" w:eastAsia="仿宋_GB2312"/>
          <w:color w:val="000000"/>
          <w:kern w:val="0"/>
          <w:sz w:val="32"/>
          <w:szCs w:val="32"/>
        </w:rPr>
        <w:t>年度总资产1204.19万元，其中：流动资产305.16万元，非流动资产899.03万元，我校开展不定期清产核资，通过清产核资，全面摸清本部门的财产家底及结构状况，做到账账相符，账实相符，有力的保障国有资产的价值；同时我校加强资产验收、资产储存，相互监督、严格把关，保证账实相符；资产处置采取应适应的方法，通过公开拍卖竞价方式处理资产，通过多方报价方式，充分利用价高者得的原则，保障处置资产的价值得到最大的增值。同时使用固定资产管理系统管理本单位资产，实现资产的电子化、数字化、网络化管理和调度利用的快速运转。各部门资产配置效率较高，部分部门共享共用闲置资产，切实盘活了存量资产，提高了资产效率，固定资产总体使用率达95%以上。</w:t>
      </w:r>
    </w:p>
    <w:p>
      <w:pPr>
        <w:spacing w:line="360" w:lineRule="auto"/>
        <w:ind w:firstLine="640" w:firstLineChars="200"/>
        <w:rPr>
          <w:rFonts w:ascii="仿宋_GB2312" w:eastAsia="仿宋_GB2312"/>
          <w:color w:val="000000"/>
          <w:kern w:val="0"/>
          <w:sz w:val="32"/>
          <w:szCs w:val="32"/>
        </w:rPr>
      </w:pPr>
      <w:r>
        <w:rPr>
          <w:rFonts w:ascii="仿宋_GB2312" w:eastAsia="仿宋_GB2312"/>
          <w:color w:val="000000"/>
          <w:kern w:val="0"/>
          <w:sz w:val="32"/>
          <w:szCs w:val="32"/>
        </w:rPr>
        <w:t>6.</w:t>
      </w:r>
      <w:r>
        <w:rPr>
          <w:rFonts w:hint="eastAsia" w:ascii="仿宋_GB2312" w:eastAsia="仿宋_GB2312"/>
          <w:color w:val="000000"/>
          <w:kern w:val="0"/>
          <w:sz w:val="32"/>
          <w:szCs w:val="32"/>
        </w:rPr>
        <w:t>人员管理</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w:t>
      </w:r>
      <w:r>
        <w:rPr>
          <w:rFonts w:hint="eastAsia" w:ascii="仿宋_GB2312" w:hAnsi="宋体" w:eastAsia="仿宋_GB2312"/>
          <w:sz w:val="32"/>
          <w:szCs w:val="32"/>
        </w:rPr>
        <w:t>校编制人数</w:t>
      </w:r>
      <w:r>
        <w:rPr>
          <w:rFonts w:ascii="仿宋_GB2312" w:hAnsi="宋体" w:eastAsia="仿宋_GB2312"/>
          <w:sz w:val="32"/>
          <w:szCs w:val="32"/>
        </w:rPr>
        <w:t>73</w:t>
      </w:r>
      <w:r>
        <w:rPr>
          <w:rFonts w:hint="eastAsia" w:ascii="仿宋_GB2312" w:hAnsi="宋体" w:eastAsia="仿宋_GB2312"/>
          <w:sz w:val="32"/>
          <w:szCs w:val="32"/>
        </w:rPr>
        <w:t>人，其中管理岗位</w:t>
      </w:r>
      <w:r>
        <w:rPr>
          <w:rFonts w:ascii="仿宋_GB2312" w:hAnsi="宋体" w:eastAsia="仿宋_GB2312"/>
          <w:sz w:val="32"/>
          <w:szCs w:val="32"/>
        </w:rPr>
        <w:t>2</w:t>
      </w:r>
      <w:r>
        <w:rPr>
          <w:rFonts w:hint="eastAsia" w:ascii="仿宋_GB2312" w:hAnsi="宋体" w:eastAsia="仿宋_GB2312"/>
          <w:sz w:val="32"/>
          <w:szCs w:val="32"/>
        </w:rPr>
        <w:t>人，专业技术岗位</w:t>
      </w:r>
      <w:r>
        <w:rPr>
          <w:rFonts w:ascii="仿宋_GB2312" w:hAnsi="宋体" w:eastAsia="仿宋_GB2312"/>
          <w:sz w:val="32"/>
          <w:szCs w:val="32"/>
        </w:rPr>
        <w:t>69</w:t>
      </w:r>
      <w:r>
        <w:rPr>
          <w:rFonts w:hint="eastAsia" w:ascii="仿宋_GB2312" w:hAnsi="宋体" w:eastAsia="仿宋_GB2312"/>
          <w:sz w:val="32"/>
          <w:szCs w:val="32"/>
        </w:rPr>
        <w:t>人，工勤技能岗位</w:t>
      </w:r>
      <w:r>
        <w:rPr>
          <w:rFonts w:ascii="仿宋_GB2312" w:hAnsi="宋体" w:eastAsia="仿宋_GB2312"/>
          <w:sz w:val="32"/>
          <w:szCs w:val="32"/>
        </w:rPr>
        <w:t>1</w:t>
      </w:r>
      <w:r>
        <w:rPr>
          <w:rFonts w:hint="eastAsia" w:ascii="仿宋_GB2312" w:hAnsi="宋体" w:eastAsia="仿宋_GB2312"/>
          <w:sz w:val="32"/>
          <w:szCs w:val="32"/>
        </w:rPr>
        <w:t>人，实有非参公事业人员教职工</w:t>
      </w:r>
      <w:r>
        <w:rPr>
          <w:rFonts w:ascii="仿宋_GB2312" w:hAnsi="宋体" w:eastAsia="仿宋_GB2312"/>
          <w:sz w:val="32"/>
          <w:szCs w:val="32"/>
        </w:rPr>
        <w:t>72</w:t>
      </w:r>
      <w:r>
        <w:rPr>
          <w:rFonts w:hint="eastAsia" w:ascii="仿宋_GB2312" w:hAnsi="宋体" w:eastAsia="仿宋_GB2312"/>
          <w:sz w:val="32"/>
          <w:szCs w:val="32"/>
        </w:rPr>
        <w:t>人，</w:t>
      </w:r>
      <w:r>
        <w:rPr>
          <w:rFonts w:hint="eastAsia" w:ascii="仿宋_GB2312" w:eastAsia="仿宋_GB2312"/>
          <w:color w:val="000000"/>
          <w:kern w:val="0"/>
          <w:sz w:val="32"/>
          <w:szCs w:val="32"/>
        </w:rPr>
        <w:t>空编数</w:t>
      </w:r>
      <w:r>
        <w:rPr>
          <w:rFonts w:ascii="仿宋_GB2312" w:eastAsia="仿宋_GB2312"/>
          <w:color w:val="000000"/>
          <w:kern w:val="0"/>
          <w:sz w:val="32"/>
          <w:szCs w:val="32"/>
        </w:rPr>
        <w:t>1</w:t>
      </w:r>
      <w:r>
        <w:rPr>
          <w:rFonts w:hint="eastAsia" w:ascii="仿宋_GB2312" w:eastAsia="仿宋_GB2312"/>
          <w:color w:val="000000"/>
          <w:kern w:val="0"/>
          <w:sz w:val="32"/>
          <w:szCs w:val="32"/>
        </w:rPr>
        <w:t>人。</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在职编外人员4人，占总教职工比率约为5%。</w:t>
      </w:r>
    </w:p>
    <w:p>
      <w:pPr>
        <w:spacing w:line="360" w:lineRule="auto"/>
        <w:ind w:firstLine="640" w:firstLineChars="200"/>
        <w:rPr>
          <w:rFonts w:ascii="仿宋_GB2312" w:eastAsia="仿宋_GB2312"/>
          <w:color w:val="000000"/>
          <w:kern w:val="0"/>
          <w:sz w:val="32"/>
          <w:szCs w:val="32"/>
        </w:rPr>
      </w:pPr>
      <w:r>
        <w:rPr>
          <w:rFonts w:ascii="仿宋_GB2312" w:eastAsia="仿宋_GB2312"/>
          <w:color w:val="000000"/>
          <w:kern w:val="0"/>
          <w:sz w:val="32"/>
          <w:szCs w:val="32"/>
        </w:rPr>
        <w:t>7.</w:t>
      </w:r>
      <w:r>
        <w:rPr>
          <w:rFonts w:hint="eastAsia" w:ascii="仿宋_GB2312" w:eastAsia="仿宋_GB2312"/>
          <w:color w:val="000000"/>
          <w:kern w:val="0"/>
          <w:sz w:val="32"/>
          <w:szCs w:val="32"/>
        </w:rPr>
        <w:t>制度管理</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校在财政资金管理、内部财务管理、政府采购方面都建立了较为完善的内部控制制度。目前建立了《深圳市大鹏新区华侨中学采购管理制度》《深圳市大鹏新区华侨中学支出管理暂行办法》《深圳市大鹏新区华侨中学合同管理办法》《深圳市大鹏新区华侨中学预算管理暂行办法》《深圳市大鹏新区华侨中学资产管理暂行办法》等一系列管理制度，基本涵盖预算管理、收支管理、政府采购管理、资产管理、工程项目管理、合同管理、会议管理等各部门基本业务活动，部门职能履行与预算执行得以保障。</w:t>
      </w:r>
    </w:p>
    <w:p>
      <w:pPr>
        <w:spacing w:line="540" w:lineRule="exact"/>
        <w:ind w:firstLine="627" w:firstLineChars="196"/>
        <w:rPr>
          <w:rFonts w:ascii="黑体" w:hAnsi="黑体" w:eastAsia="黑体"/>
          <w:sz w:val="32"/>
          <w:szCs w:val="32"/>
        </w:rPr>
      </w:pPr>
      <w:r>
        <w:rPr>
          <w:rFonts w:hint="eastAsia" w:ascii="黑体" w:hAnsi="黑体" w:eastAsia="黑体"/>
          <w:sz w:val="32"/>
          <w:szCs w:val="32"/>
        </w:rPr>
        <w:t>二、部门（单位）主要履职绩效分析</w:t>
      </w:r>
    </w:p>
    <w:p>
      <w:pPr>
        <w:spacing w:line="540" w:lineRule="exact"/>
        <w:ind w:firstLine="640" w:firstLineChars="200"/>
        <w:rPr>
          <w:rFonts w:ascii="楷体" w:hAnsi="楷体" w:eastAsia="楷体"/>
          <w:sz w:val="32"/>
          <w:szCs w:val="32"/>
        </w:rPr>
      </w:pPr>
      <w:r>
        <w:rPr>
          <w:rFonts w:hint="eastAsia" w:ascii="楷体" w:hAnsi="楷体" w:eastAsia="楷体"/>
          <w:sz w:val="32"/>
          <w:szCs w:val="32"/>
        </w:rPr>
        <w:t>（一）主要履职目标</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2020年,学校将</w:t>
      </w:r>
      <w:r>
        <w:rPr>
          <w:rFonts w:ascii="仿宋_GB2312" w:eastAsia="仿宋_GB2312"/>
          <w:color w:val="000000"/>
          <w:kern w:val="0"/>
          <w:sz w:val="32"/>
          <w:szCs w:val="32"/>
        </w:rPr>
        <w:t>在</w:t>
      </w:r>
      <w:r>
        <w:rPr>
          <w:rFonts w:hint="eastAsia" w:ascii="仿宋_GB2312" w:eastAsia="仿宋_GB2312"/>
          <w:color w:val="000000"/>
          <w:kern w:val="0"/>
          <w:sz w:val="32"/>
          <w:szCs w:val="32"/>
        </w:rPr>
        <w:t>大鹏新区教育和卫生健康局</w:t>
      </w:r>
      <w:r>
        <w:rPr>
          <w:rFonts w:ascii="仿宋_GB2312" w:eastAsia="仿宋_GB2312"/>
          <w:color w:val="000000"/>
          <w:kern w:val="0"/>
          <w:sz w:val="32"/>
          <w:szCs w:val="32"/>
        </w:rPr>
        <w:t>的</w:t>
      </w:r>
      <w:r>
        <w:rPr>
          <w:rFonts w:hint="eastAsia" w:ascii="仿宋_GB2312" w:eastAsia="仿宋_GB2312"/>
          <w:color w:val="000000"/>
          <w:kern w:val="0"/>
          <w:sz w:val="32"/>
          <w:szCs w:val="32"/>
        </w:rPr>
        <w:t>坚强领</w:t>
      </w:r>
      <w:r>
        <w:rPr>
          <w:rFonts w:ascii="仿宋_GB2312" w:eastAsia="仿宋_GB2312"/>
          <w:color w:val="000000"/>
          <w:kern w:val="0"/>
          <w:sz w:val="32"/>
          <w:szCs w:val="32"/>
        </w:rPr>
        <w:t>导</w:t>
      </w:r>
      <w:r>
        <w:rPr>
          <w:rFonts w:hint="eastAsia" w:ascii="仿宋_GB2312" w:eastAsia="仿宋_GB2312"/>
          <w:color w:val="000000"/>
          <w:kern w:val="0"/>
          <w:sz w:val="32"/>
          <w:szCs w:val="32"/>
        </w:rPr>
        <w:t>和科学引领</w:t>
      </w:r>
      <w:r>
        <w:rPr>
          <w:rFonts w:ascii="仿宋_GB2312" w:eastAsia="仿宋_GB2312"/>
          <w:color w:val="000000"/>
          <w:kern w:val="0"/>
          <w:sz w:val="32"/>
          <w:szCs w:val="32"/>
        </w:rPr>
        <w:t>下，</w:t>
      </w:r>
      <w:r>
        <w:rPr>
          <w:rFonts w:hint="eastAsia" w:ascii="仿宋_GB2312" w:eastAsia="仿宋_GB2312"/>
          <w:color w:val="000000"/>
          <w:kern w:val="0"/>
          <w:sz w:val="32"/>
          <w:szCs w:val="32"/>
        </w:rPr>
        <w:t>秉持“本真发展,达己达人”的办学理念，践行“办有内涵有品质的教育，建有温度有故事的学校”的办学目标,攻坚克难，砥砺奋进，全力防疫，尽力成长。争取在“聚心聚力聚智，提速提质提效”</w:t>
      </w:r>
      <w:r>
        <w:rPr>
          <w:rFonts w:ascii="仿宋_GB2312" w:eastAsia="仿宋_GB2312"/>
          <w:color w:val="000000"/>
          <w:kern w:val="0"/>
          <w:sz w:val="32"/>
          <w:szCs w:val="32"/>
        </w:rPr>
        <w:t>的</w:t>
      </w:r>
      <w:r>
        <w:rPr>
          <w:rFonts w:hint="eastAsia" w:ascii="仿宋_GB2312" w:eastAsia="仿宋_GB2312"/>
          <w:color w:val="000000"/>
          <w:kern w:val="0"/>
          <w:sz w:val="32"/>
          <w:szCs w:val="32"/>
        </w:rPr>
        <w:t>全方位</w:t>
      </w:r>
      <w:r>
        <w:rPr>
          <w:rFonts w:ascii="仿宋_GB2312" w:eastAsia="仿宋_GB2312"/>
          <w:color w:val="000000"/>
          <w:kern w:val="0"/>
          <w:sz w:val="32"/>
          <w:szCs w:val="32"/>
        </w:rPr>
        <w:t>工作</w:t>
      </w:r>
      <w:r>
        <w:rPr>
          <w:rFonts w:hint="eastAsia" w:ascii="仿宋_GB2312" w:eastAsia="仿宋_GB2312"/>
          <w:color w:val="000000"/>
          <w:kern w:val="0"/>
          <w:sz w:val="32"/>
          <w:szCs w:val="32"/>
        </w:rPr>
        <w:t>中，取得</w:t>
      </w:r>
      <w:r>
        <w:rPr>
          <w:rFonts w:ascii="仿宋_GB2312" w:eastAsia="仿宋_GB2312"/>
          <w:color w:val="000000"/>
          <w:kern w:val="0"/>
          <w:sz w:val="32"/>
          <w:szCs w:val="32"/>
        </w:rPr>
        <w:t>长足的进步和</w:t>
      </w:r>
      <w:r>
        <w:rPr>
          <w:rFonts w:hint="eastAsia" w:ascii="仿宋_GB2312" w:eastAsia="仿宋_GB2312"/>
          <w:color w:val="000000"/>
          <w:kern w:val="0"/>
          <w:sz w:val="32"/>
          <w:szCs w:val="32"/>
        </w:rPr>
        <w:t>不断的发展。</w:t>
      </w:r>
    </w:p>
    <w:p>
      <w:pPr>
        <w:spacing w:line="540" w:lineRule="exact"/>
        <w:ind w:firstLine="480" w:firstLineChars="150"/>
        <w:rPr>
          <w:rFonts w:ascii="楷体" w:hAnsi="楷体" w:eastAsia="楷体"/>
          <w:sz w:val="32"/>
          <w:szCs w:val="32"/>
        </w:rPr>
      </w:pPr>
      <w:r>
        <w:rPr>
          <w:rFonts w:hint="eastAsia" w:ascii="楷体" w:hAnsi="楷体" w:eastAsia="楷体"/>
          <w:sz w:val="32"/>
          <w:szCs w:val="32"/>
        </w:rPr>
        <w:t>（二）主要履职情况</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1.坚持校务公开制度，加强学校民主建设</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积极贯彻落实国家教育方针政策,大力推进学校民主建设。评优评先、晋职晋级、年度考核等，实行政策公开、条件公开、指标公开、过程和结果公开。让兢兢业业、实绩突出的真正优秀的老师被推选出来。今年的年度考核、评优评先等，都在公开、公正、公平中进行。这些举措调动了教师们的工作主动性和积极性。同时，严格执行上级各项政策，切实减少不必要开支，对招待、用车、财务实行规范化管理，各项采购和学校工程建设都在校长办公会上集体讨论决定。</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2.加强班子作风建设，全力提高工作效率</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学校进一步加强党建工作和作风建设。定期召开座谈会，举办形式多样的学习、参观和培训活动，如：2月至4月，在疫情防控的关键时期，组织安排党员冲在一线守护学校安全和担任校外志愿者活动；7月1日，举办“迎七一，庆党建”团队建设活动；10月31日，学校党支部联合团支部开展了“缅怀革命先烈、传承东纵精神”党建带团建主题党日活动；11月5日，举行“喜迎特区四十载，改革开放再出发”党建带团建活动；每日线上党员学习活动等。要求中层干部和党员加强线上和线下学习, 提高政治站位, 率先垂范，为全体教职工做榜样、当表率。弘扬主旋律，传递正能量，引领团结广大教师形成团结协作、积极向上的良好氛围。要求班子成员按时参加每个星期五召开办公会，带头遵章守矩，带头履职尽责，带头深入教学一线，同时要求他们既要各司其职，又要做到分工不分家，形成一支充满凝聚力和战斗力的先进</w:t>
      </w:r>
      <w:r>
        <w:fldChar w:fldCharType="begin"/>
      </w:r>
      <w:r>
        <w:instrText xml:space="preserve"> HYPERLINK "http://www.5ykj.com/Article/" \t "_blank" </w:instrText>
      </w:r>
      <w:r>
        <w:fldChar w:fldCharType="separate"/>
      </w:r>
      <w:r>
        <w:rPr>
          <w:rFonts w:hint="eastAsia" w:ascii="仿宋_GB2312" w:eastAsia="仿宋_GB2312"/>
          <w:color w:val="000000"/>
          <w:kern w:val="0"/>
          <w:sz w:val="32"/>
          <w:szCs w:val="32"/>
        </w:rPr>
        <w:t>领导</w:t>
      </w:r>
      <w:r>
        <w:rPr>
          <w:rFonts w:hint="eastAsia" w:ascii="仿宋_GB2312" w:eastAsia="仿宋_GB2312"/>
          <w:color w:val="000000"/>
          <w:kern w:val="0"/>
          <w:sz w:val="32"/>
          <w:szCs w:val="32"/>
        </w:rPr>
        <w:fldChar w:fldCharType="end"/>
      </w:r>
      <w:r>
        <w:rPr>
          <w:rFonts w:hint="eastAsia" w:ascii="仿宋_GB2312" w:eastAsia="仿宋_GB2312"/>
          <w:color w:val="000000"/>
          <w:kern w:val="0"/>
          <w:sz w:val="32"/>
          <w:szCs w:val="32"/>
        </w:rPr>
        <w:t>集体。</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3.加强师德师风建设，全面提升教师形象</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加强学校德育工作的组织领导和完善德育工作网络。全面实行“人人参与，个个担当”的德育工作网络，使全体教职工牢固树立“人人都是合格德育工作者”的观念，形成全员育人、全科育人、全程育人的良好机制。</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注重师德师风的建设，通过培训、交流、学习，不断提高教师们的政治思想素质和业务能力，努力打造一支乐于奉献、德技双馨、务实高效的德育队伍。采取有力措施，增强广大教职工的凝聚力和向心力，提高老师们的班主任履职水平, 提升年轻教师的专业发展实力，如：8月23日, 邀请全国知名班主任钟杰老师前来学校开展“如何做有教育力的父母”主题讲座；9月29日,邀请刘晋教授参加体育科组开展的课堂教学指导与研讨交流活动；12月30日,举行迎新座谈会等等。</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坚持每周一次的年级组长、班主任例会制度。进行各种的学习、交流和研讨，并进行阶段性的总结和布置，让年级组长、班主任工作目标明确，使全校德育工作形成一盘棋。总结推广班主任工作中的好经验，破解班主任工作中的瓶颈难题，提高班主任工作的实效性。通过形式多样、丰富多彩的活动，如：每月的班主任工作专题研讨会，常规班主任会议，校长专题讲座，郭其俊名校长工作室活动，参加和观摩新区班主任专业能力大赛等，加强了班主任队伍建设，进一步提升了广大班主任的教育管理与班级建设的认识和能力。</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以“新区中小学班主任工作规程”为指导和标准，以班风学风为具体内容和考评重点，加强班主任工作的管理，详细记录班主任履行岗位职责的情况，详细记录班集体在教育教学活动中的表现情况，保障班主任工作常规工作落到实处。学校实行班主任的工作成绩与“评优评先”挂钩的工作机制。</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4.加强德育思想工作，促进学生健康成长</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实行班级情况汇报制度。全校各班完善“班级情况汇报制度”，班主任要责成班干部必须将班级中的情况如实迅速地汇报，以使班主任在第一时间了解班级情况。各班班主任填写“班级情况汇报表”，每周反映本班管理情况、班级同学中存在的苗头性问题和抽烟、打架、欺凌等不良现象。学生处及时了解学生思想动态，积极采取应对措施，提高德育工作的针对性和实效性。</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抓好“班会课”的德育主阵地。学生处加大班会课落实检查的力度。要求班主任根据学校的班会内容安排并结合班级实际，认真进行备课，上足上好每一节班会课，丰富班会课的内容和形式，使学生喜欢上班会课，从而提高班会课的质量和效果。学期末学校以此作为评选“优秀班主任”的重要依据之一。</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坚持勤查勤访。全体教师，特别是班主任，要勤到班、勤家访、勤谈心，做到：学生的不良现象，通过谈心去解决；学生情绪低落，通过谈心去鼓励；学生的突出问题，通过谈心去温暖。</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进一步增强学生的自我约束、自主管理、自身成长，强化学生在晚修和内宿时的自我管理，充分发挥学生会、家委会、共青团组织在学生自主管理中的积极作用。</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全面开展各种多彩活动，全力提升学生的核心素养。一年来，开展了数十个精彩、高品质的活动，如：八年级社会实践活动、中考百日誓师活动、“五四”庆祝活动、“党建带团建”主题活动、新团员入团宣誓仪式、“六一”儿童节活动、中考送考活动、九年级毕业典礼、七年级新生国防教育活动、班际拔河比赛、足球嘉年华、第七期校长激励计划活动等等。</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5.加强教育教学管理，全面提高教学质量</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抓教育教学计划的制定，保证教育教学工作具有科学性、计划性、规范性，加强统筹管理和目标管理，各项任务做到有目标、有方案、有管理、有落实、有评价、有成效，切实保障各项工作有的放矢、务实高效。</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（2）抓教育教学计划的落实，保证教育教学工作的科学性、稳定性和连续性。</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（3）强化课堂教学管理，狠抓“促、引、研、评”的教学管理环节。要求每一位行政人员积极推门听课并对听课反馈至少做到“三个一”的点评和指导。向课堂教学要质量，提升教育教学的效率和效果。</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（4）坚持对教学常规工作的督促和检查，规范教学行为，防止教学事故的发生。</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6.全力开展教研活动，尽力提高科研能力</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充分利用“侨中大讲堂”这个育人增智平台，定期邀请外校名师和本校骨干教师进行传经送宝活动。坚持推门听课制度，使教学检查走进课堂,提升教学效率。规范教研行为，严格落实教研室各项考核制度。积极开展有效教研，坚持听评课制度和教学反馈机制。教师每学期听课不少于15节。 定期开展研讨活动。</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7.抓好工会工作，勇于担当作为</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带领广大教职工积极建功新时代，加强对他们的思想政治引领，加强教育教学服务工作，锐意进取，积极作为，营造和谐融洽、团结向上的氛围，开创新时代学校工会工作新局面。</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8.重视对口帮扶活动，强化教师培训工作</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借助“新区学校与巴马学校对口帮扶”活动，加强与广西巴马县凤凰乡初级中学的交流。2020年是结对帮扶收官之年，12月16日上午,学校党支部巫远宁副书记、于华校长助理、校长助理兼教务主任戎凡、七年级级长邱雪奔赴广西壮族自治区河池市巴马县凤凰乡初级中学，开展送课交流帮扶和总结活动。经过3年的帮扶结对，双方的交流是实实在在且成效显著。</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与此同时，我校也把握好与外地和本市知名中小学(亚迪学校、澳门圣若瑟教区中学第六校等)学习交流的机会，积极向各名校学习，双方交流频繁,各有收获。</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学校积极主动配合主管部门抓好教师的继续教育工作，要求他们完成继续教育学时要求。支持、鼓励教师参加提高学历层次、业务水平、教研能力的培训，推荐教师参加上级组织的各种培训和学习。</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9.做实做细安全工作，优化校园安全环境</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去年是极不平凡的一年,学校把安全工作列入工作的重中之重，健全和优化了学校安全工作领导小组。从年初开始，学校根据疫情防控和安全工作的具体形势，把涉及师生安全的各项内容进行认真分解，落实到人，防止工作上的相互扯皮和推诿，时刻绷紧疫情防控和校园安全这根弦，及时储备防疫物资,定期进行防疫应急演练,织密“安全防疫网”，筑牢“安全防护墙”。从年初到年末,从疫情防控的严峻时期到常态化防疫的日子,美丽校园里都是防而不乱、防而有章，形成了安全、和谐、有序的温馨局面</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10.夯实总务财会工作，提升教育服务水平</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坚持做好后勤服务的常规工作。开学初，有条不紊地做好开学前的一切准备工作，及时分发各班和办公室物品等。</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时刻筑牢防线，严防病毒输入校园。坚持每天对教室、食堂、宿舍、实验室、图书馆等重点场所进行通风，保洁及消毒。科学组织师生错峰用餐，学校食堂食品等原料保证来源可追溯等。</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严格执行国家的财务制度，坚持执行上级规定的收费标准，不乱收费，严格实行收支两条线，精打细算。做好学校的一切经济收支、往来账目的结报、核算及其它相关的统计、调资、发放、申报、年审、变更、各项保险等等有关事项、年度的预算和决算及编制说明。</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11.着力加强信息化建设工作，全力推进智慧校园建设</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加强信息技术与教育管理、学科教学的有机整合，不断完善学校的信息化硬件建设和软件建设水平，强化信息技术的服务功能，提高师生的信息化素养。</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12.强化宣传管理工作，不断提升学校影响力</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加大学校信息宣传工作力度,增强宣传工作的针对性和实效性，向社会充分展示我校的教育教学成果和师生良好的精神风貌,不断提升学校的知名度和美誉度,扩大学校的辐射力和影响力。</w:t>
      </w:r>
    </w:p>
    <w:p>
      <w:pPr>
        <w:spacing w:line="540" w:lineRule="exact"/>
        <w:ind w:firstLine="480" w:firstLineChars="150"/>
        <w:rPr>
          <w:rFonts w:ascii="楷体" w:hAnsi="楷体" w:eastAsia="楷体"/>
          <w:sz w:val="32"/>
          <w:szCs w:val="32"/>
        </w:rPr>
      </w:pPr>
      <w:r>
        <w:rPr>
          <w:rFonts w:hint="eastAsia" w:ascii="楷体" w:hAnsi="楷体" w:eastAsia="楷体"/>
          <w:sz w:val="32"/>
          <w:szCs w:val="32"/>
        </w:rPr>
        <w:t>（三）部门履职绩效情况。</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 经济性</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（1）“三公”经费控制率</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2020年度我校“三公”经费预算金额为4.05万元，均为公务用车运行经费。全年实际支出三公经费4.04万元。均为公务用车运行经费。主要原因是认真贯彻落实中央八项规定精神和厉行节约要求，从严控制“三公”经费开支，全年实际支出较上年有所节约。“三公”经费控制情况良好。“三公”经费执行率为99.75%。</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（2）日常公用经费控制率</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我校2020年日常公用经费预算数为218.88万元,调整预算数为218.88万元，决算数为218.93万元。主要是我校调整了部分支出到公用经费中。</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2.效率性</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我校2020年第一、第二、第三、第四季度的预算执行率分别为26.2%、51.3%、74.7%、100%。我校预算执行率总体表现良好。</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3.效果性</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一年来，尽管受到疫情的影响，但是学校攻坚克难、开拓进取，全面实施“质量立校、人才强校、科研兴校、文化彰校”的战略，大力推行素质教育，力求全面提高学生的综合素质。本学年度，师生共有200多人次在各级各类竞赛中获奖。取得的主要成绩，如：10月25日，学校男子足球队勇夺大鹏新区中小学校园足球大赛冠军，女子足球队获得亚军、11月8日，何慧婷、陈佩莹、冯小戈、林兰香四位同学在新区第八届田径运动会上分别获得个人单项奖金牌共4枚、11月15日，校女篮队夺得新区中小学校园篮球班级联赛冠军；先后获得“深圳市五四红旗团委”“深圳市优秀学生社团”“深圳市优秀学生会”“大鹏新区基层优秀党支部”荣誉称号; 2020年中考410分以上32人，增加10人，增幅45.5%；400分以上56人，增加17人，增幅43.6%；各科A+和A等级人数达到439人次，比去年增加137人次，增幅45.36%；英语学科A+人数达到17人，比去年增加12人，增幅240%；录</w:t>
      </w:r>
      <w:r>
        <w:rPr>
          <w:rFonts w:hint="eastAsia" w:ascii="仿宋_GB2312" w:eastAsia="仿宋_GB2312"/>
          <w:color w:val="000000"/>
          <w:kern w:val="0"/>
          <w:sz w:val="32"/>
          <w:szCs w:val="32"/>
          <w:lang w:val="en-US" w:eastAsia="zh-CN"/>
        </w:rPr>
        <w:t>取</w:t>
      </w:r>
      <w:r>
        <w:rPr>
          <w:rFonts w:hint="eastAsia" w:ascii="仿宋_GB2312" w:eastAsia="仿宋_GB2312"/>
          <w:color w:val="000000"/>
          <w:kern w:val="0"/>
          <w:sz w:val="32"/>
          <w:szCs w:val="32"/>
        </w:rPr>
        <w:t>到四大名校5人， 录取到10大名校17人，比去年多了6人；录取到公办普高98人，比去年增加了30人，增幅达到44.1%；七、八年级的成绩在两次期末考中亦表现突出、精彩亮眼。</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4.公平性</w:t>
      </w:r>
    </w:p>
    <w:p>
      <w:pPr>
        <w:spacing w:line="360" w:lineRule="auto"/>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我校已通过电话热线、信箱、微信公众号等渠道与群众互动交流、建立意见反映渠道以及群众意见办理回复机制，记录群众的各项咨询投诉问题，做好信访回复工作。</w:t>
      </w:r>
    </w:p>
    <w:p>
      <w:pPr>
        <w:spacing w:line="360" w:lineRule="auto"/>
        <w:ind w:firstLine="640" w:firstLineChars="200"/>
        <w:rPr>
          <w:rFonts w:ascii="黑体" w:hAnsi="黑体" w:eastAsia="黑体"/>
          <w:bCs/>
          <w:sz w:val="32"/>
          <w:szCs w:val="32"/>
        </w:rPr>
      </w:pPr>
      <w:r>
        <w:rPr>
          <w:rFonts w:hint="eastAsia" w:ascii="黑体" w:hAnsi="黑体" w:eastAsia="黑体"/>
          <w:bCs/>
          <w:sz w:val="32"/>
          <w:szCs w:val="32"/>
        </w:rPr>
        <w:t>三、总体评价和整改措施</w:t>
      </w:r>
    </w:p>
    <w:p>
      <w:pPr>
        <w:spacing w:line="360" w:lineRule="auto"/>
        <w:ind w:firstLine="640" w:firstLineChars="200"/>
        <w:rPr>
          <w:rFonts w:ascii="楷体" w:hAnsi="楷体" w:eastAsia="楷体"/>
          <w:sz w:val="32"/>
          <w:szCs w:val="32"/>
        </w:rPr>
      </w:pPr>
      <w:r>
        <w:rPr>
          <w:rFonts w:hint="eastAsia" w:ascii="楷体" w:hAnsi="楷体" w:eastAsia="楷体"/>
          <w:sz w:val="32"/>
          <w:szCs w:val="32"/>
        </w:rPr>
        <w:t>（一）预算绩效管理工作主要经验、做法。</w:t>
      </w:r>
    </w:p>
    <w:p>
      <w:pPr>
        <w:spacing w:line="360" w:lineRule="auto"/>
        <w:ind w:firstLine="640" w:firstLineChars="200"/>
        <w:rPr>
          <w:rFonts w:ascii="仿宋_GB2312" w:hAnsi="仿宋" w:eastAsia="仿宋_GB2312"/>
          <w:bCs/>
          <w:sz w:val="32"/>
          <w:szCs w:val="32"/>
        </w:rPr>
      </w:pPr>
      <w:r>
        <w:rPr>
          <w:rFonts w:ascii="仿宋_GB2312" w:hAnsi="仿宋" w:eastAsia="仿宋_GB2312"/>
          <w:bCs/>
          <w:sz w:val="32"/>
          <w:szCs w:val="32"/>
        </w:rPr>
        <w:t xml:space="preserve">1.2020 </w:t>
      </w:r>
      <w:r>
        <w:rPr>
          <w:rFonts w:hint="eastAsia" w:ascii="仿宋_GB2312" w:hAnsi="仿宋" w:eastAsia="仿宋_GB2312"/>
          <w:bCs/>
          <w:sz w:val="32"/>
          <w:szCs w:val="32"/>
        </w:rPr>
        <w:t>年度我校在预算编制中做到结合部门主要履职目标，依据文件要求，详细</w:t>
      </w:r>
      <w:r>
        <w:rPr>
          <w:rFonts w:hint="eastAsia" w:ascii="仿宋_GB2312" w:hAnsi="仿宋" w:eastAsia="仿宋_GB2312"/>
          <w:bCs/>
          <w:sz w:val="32"/>
          <w:szCs w:val="32"/>
          <w:lang w:val="en-US" w:eastAsia="zh-CN"/>
        </w:rPr>
        <w:t>提</w:t>
      </w:r>
      <w:r>
        <w:rPr>
          <w:rFonts w:hint="eastAsia" w:ascii="仿宋_GB2312" w:hAnsi="仿宋" w:eastAsia="仿宋_GB2312"/>
          <w:bCs/>
          <w:sz w:val="32"/>
          <w:szCs w:val="32"/>
        </w:rPr>
        <w:t>供测算标准，预算项目的执行做到按计划支出，跟进序时进度，预算项目实施规范合理，项目完成接受审计监督，反馈结果及时整改，实现预算绩效管理与预算编制、执行、监督的有机结合。</w:t>
      </w:r>
    </w:p>
    <w:p>
      <w:pPr>
        <w:spacing w:line="360" w:lineRule="auto"/>
        <w:ind w:firstLine="640" w:firstLineChars="200"/>
        <w:rPr>
          <w:rFonts w:ascii="仿宋_GB2312" w:hAnsi="仿宋" w:eastAsia="仿宋_GB2312"/>
          <w:bCs/>
          <w:sz w:val="32"/>
          <w:szCs w:val="32"/>
        </w:rPr>
      </w:pPr>
      <w:r>
        <w:rPr>
          <w:rFonts w:ascii="仿宋_GB2312" w:hAnsi="仿宋" w:eastAsia="仿宋_GB2312"/>
          <w:bCs/>
          <w:sz w:val="32"/>
          <w:szCs w:val="32"/>
        </w:rPr>
        <w:t>2.</w:t>
      </w:r>
      <w:r>
        <w:rPr>
          <w:rFonts w:hint="eastAsia" w:ascii="仿宋_GB2312" w:hAnsi="仿宋" w:eastAsia="仿宋_GB2312"/>
          <w:bCs/>
          <w:sz w:val="32"/>
          <w:szCs w:val="32"/>
        </w:rPr>
        <w:t>依法依规做好绩效管理的公开工作。年度整体支出绩效评价做到了执行透明和预算支出监督的完整，进一步配合上级要求对部门整体绩效工作的监督工作的力度，我</w:t>
      </w:r>
      <w:r>
        <w:rPr>
          <w:rFonts w:hint="eastAsia" w:ascii="仿宋_GB2312" w:hAnsi="仿宋" w:eastAsia="仿宋_GB2312"/>
          <w:bCs/>
          <w:sz w:val="32"/>
          <w:szCs w:val="32"/>
          <w:lang w:val="en-US" w:eastAsia="zh-Hans"/>
        </w:rPr>
        <w:t>校</w:t>
      </w:r>
      <w:r>
        <w:rPr>
          <w:rFonts w:hint="eastAsia" w:ascii="仿宋_GB2312" w:hAnsi="仿宋" w:eastAsia="仿宋_GB2312"/>
          <w:bCs/>
          <w:sz w:val="32"/>
          <w:szCs w:val="32"/>
        </w:rPr>
        <w:t>按时向社会公开了预决算，保障公民知情权，让财政资金和预算项目置于公众的监督之下，有利于降低行政事业单位廉政风险。</w:t>
      </w:r>
    </w:p>
    <w:p>
      <w:pPr>
        <w:spacing w:line="360" w:lineRule="auto"/>
        <w:ind w:firstLine="640" w:firstLineChars="200"/>
        <w:rPr>
          <w:rFonts w:ascii="楷体" w:hAnsi="楷体" w:eastAsia="楷体"/>
          <w:sz w:val="32"/>
          <w:szCs w:val="32"/>
        </w:rPr>
      </w:pPr>
      <w:r>
        <w:rPr>
          <w:rFonts w:hint="eastAsia" w:ascii="楷体" w:hAnsi="楷体" w:eastAsia="楷体"/>
          <w:sz w:val="32"/>
          <w:szCs w:val="32"/>
        </w:rPr>
        <w:t>（二）部门整体支出绩效存在问题及改进措施。</w:t>
      </w:r>
    </w:p>
    <w:p>
      <w:pPr>
        <w:spacing w:line="360" w:lineRule="auto"/>
        <w:ind w:firstLine="640" w:firstLineChars="200"/>
        <w:rPr>
          <w:rFonts w:ascii="仿宋_GB2312" w:hAnsi="仿宋" w:eastAsia="仿宋_GB2312"/>
          <w:bCs/>
          <w:sz w:val="32"/>
          <w:szCs w:val="32"/>
        </w:rPr>
      </w:pPr>
      <w:r>
        <w:rPr>
          <w:rFonts w:hint="eastAsia" w:ascii="仿宋_GB2312" w:hAnsi="仿宋" w:eastAsia="仿宋_GB2312"/>
          <w:bCs/>
          <w:sz w:val="32"/>
          <w:szCs w:val="32"/>
        </w:rPr>
        <w:t>人员绩效理念有待加强。部分人员对绩效评价工作的认识还不够深入，工作缺乏指导，存在部门项目绩效目标申报表存在填报内容不规范、绩效指标细化程度不足的情况。</w:t>
      </w:r>
    </w:p>
    <w:p>
      <w:pPr>
        <w:spacing w:line="360" w:lineRule="auto"/>
        <w:ind w:firstLine="640" w:firstLineChars="200"/>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改进措施</w:t>
      </w:r>
    </w:p>
    <w:p>
      <w:pPr>
        <w:spacing w:line="360" w:lineRule="auto"/>
        <w:ind w:firstLine="480" w:firstLineChars="150"/>
        <w:rPr>
          <w:rFonts w:ascii="仿宋_GB2312" w:hAnsi="仿宋" w:eastAsia="仿宋_GB2312"/>
          <w:bCs/>
          <w:sz w:val="32"/>
          <w:szCs w:val="32"/>
        </w:rPr>
      </w:pPr>
      <w:r>
        <w:rPr>
          <w:rFonts w:hint="eastAsia" w:ascii="仿宋_GB2312" w:hAnsi="仿宋" w:eastAsia="仿宋_GB2312"/>
          <w:bCs/>
          <w:sz w:val="32"/>
          <w:szCs w:val="32"/>
        </w:rPr>
        <w:t>进一步强化绩效管理思想，提高单位人员的绩效管理业务能力和管理水平。在绩效目标填报时，结合上级部门要求及往年工作情况，梳理明确各个项目实施计划、预期效果，资金测算等，对项目实施内容、预期完成效果有清晰的认知，对项目目标编制进行优化，提高绩效目标填写的科学性、合理性和规范性。</w:t>
      </w:r>
    </w:p>
    <w:p>
      <w:pPr>
        <w:spacing w:line="360" w:lineRule="auto"/>
        <w:ind w:firstLine="640" w:firstLineChars="200"/>
        <w:rPr>
          <w:rFonts w:ascii="楷体" w:hAnsi="楷体" w:eastAsia="楷体"/>
          <w:sz w:val="32"/>
          <w:szCs w:val="32"/>
        </w:rPr>
      </w:pPr>
      <w:r>
        <w:rPr>
          <w:rFonts w:hint="eastAsia" w:ascii="楷体" w:hAnsi="楷体" w:eastAsia="楷体"/>
          <w:sz w:val="32"/>
          <w:szCs w:val="32"/>
        </w:rPr>
        <w:t>（三）后续工作计划、相关建议等。</w:t>
      </w:r>
    </w:p>
    <w:p>
      <w:pPr>
        <w:spacing w:line="360" w:lineRule="auto"/>
        <w:ind w:firstLine="640" w:firstLineChars="200"/>
        <w:rPr>
          <w:rFonts w:ascii="仿宋_GB2312" w:hAnsi="仿宋" w:eastAsia="仿宋_GB2312"/>
          <w:bCs/>
          <w:sz w:val="32"/>
          <w:szCs w:val="32"/>
        </w:rPr>
      </w:pPr>
      <w:r>
        <w:rPr>
          <w:rFonts w:ascii="仿宋_GB2312" w:hAnsi="仿宋" w:eastAsia="仿宋_GB2312"/>
          <w:bCs/>
          <w:sz w:val="32"/>
          <w:szCs w:val="32"/>
        </w:rPr>
        <w:t>1.</w:t>
      </w:r>
      <w:r>
        <w:rPr>
          <w:rFonts w:hint="eastAsia" w:ascii="仿宋_GB2312" w:hAnsi="仿宋" w:eastAsia="仿宋_GB2312"/>
          <w:bCs/>
          <w:sz w:val="32"/>
          <w:szCs w:val="32"/>
        </w:rPr>
        <w:t>加强预算绩效目标管理工作。明确预算项目绩效目标编制要求，分类别建立科学合理、细化量化、可比可测、可动态调整项目预算绩效指标体系，突出结果导向</w:t>
      </w:r>
      <w:r>
        <w:rPr>
          <w:rFonts w:ascii="仿宋_GB2312" w:hAnsi="仿宋" w:eastAsia="仿宋_GB2312"/>
          <w:bCs/>
          <w:sz w:val="32"/>
          <w:szCs w:val="32"/>
        </w:rPr>
        <w:t>,</w:t>
      </w:r>
      <w:r>
        <w:rPr>
          <w:rFonts w:hint="eastAsia" w:ascii="仿宋_GB2312" w:hAnsi="仿宋" w:eastAsia="仿宋_GB2312"/>
          <w:bCs/>
          <w:sz w:val="32"/>
          <w:szCs w:val="32"/>
        </w:rPr>
        <w:t>重点考核实绩。实施预算执行进度及目标“双监控”，保障预算项目资金支出进度及绩效目标完成情况均能实时掌控，一旦发生偏离可及时采取应对措施，保障预算项目执行有效。</w:t>
      </w:r>
    </w:p>
    <w:p>
      <w:pPr>
        <w:spacing w:line="360" w:lineRule="auto"/>
        <w:ind w:firstLine="640" w:firstLineChars="200"/>
        <w:rPr>
          <w:rFonts w:ascii="仿宋_GB2312" w:hAnsi="仿宋" w:eastAsia="仿宋_GB2312"/>
          <w:bCs/>
          <w:sz w:val="32"/>
          <w:szCs w:val="32"/>
        </w:rPr>
      </w:pPr>
      <w:r>
        <w:rPr>
          <w:rFonts w:ascii="仿宋_GB2312" w:hAnsi="仿宋" w:eastAsia="仿宋_GB2312"/>
          <w:bCs/>
          <w:sz w:val="32"/>
          <w:szCs w:val="32"/>
        </w:rPr>
        <w:t>2.</w:t>
      </w:r>
      <w:r>
        <w:rPr>
          <w:rFonts w:hint="eastAsia" w:ascii="仿宋_GB2312" w:hAnsi="仿宋" w:eastAsia="仿宋_GB2312"/>
          <w:bCs/>
          <w:sz w:val="32"/>
          <w:szCs w:val="32"/>
        </w:rPr>
        <w:t>继续完善预算绩效管理相关工作制度，形成绩效管理手册或者实施细则等可操作的指引文件，借助第三方专业机构力量，贯彻落实全面预算绩效管理工作，建立全过程预算绩效管理链条，将事前绩效评估、预算绩效目标管理、监控、评价以及应用各环节紧密贯通。</w:t>
      </w:r>
    </w:p>
    <w:p>
      <w:pPr>
        <w:spacing w:line="540" w:lineRule="exact"/>
        <w:ind w:firstLine="800" w:firstLineChars="250"/>
        <w:rPr>
          <w:rFonts w:ascii="黑体" w:hAnsi="黑体" w:eastAsia="黑体"/>
          <w:sz w:val="32"/>
          <w:szCs w:val="32"/>
        </w:rPr>
      </w:pPr>
      <w:r>
        <w:rPr>
          <w:rFonts w:hint="eastAsia" w:ascii="黑体" w:hAnsi="黑体" w:eastAsia="黑体"/>
          <w:sz w:val="32"/>
          <w:szCs w:val="32"/>
        </w:rPr>
        <w:t>四、部门整体支出绩效评价指标评分情况</w:t>
      </w:r>
    </w:p>
    <w:p>
      <w:pPr>
        <w:spacing w:line="560" w:lineRule="exact"/>
        <w:ind w:firstLine="640" w:firstLineChars="200"/>
        <w:rPr>
          <w:rFonts w:ascii="仿宋_GB2312" w:hAnsi="Calibri" w:eastAsia="仿宋_GB2312"/>
          <w:sz w:val="32"/>
          <w:szCs w:val="32"/>
        </w:rPr>
      </w:pPr>
      <w:r>
        <w:rPr>
          <w:rFonts w:hint="eastAsia" w:ascii="仿宋_GB2312" w:hAnsi="Calibri" w:eastAsia="仿宋_GB2312"/>
          <w:sz w:val="32"/>
          <w:szCs w:val="32"/>
        </w:rPr>
        <w:t>我校参照《部门整体支出绩效评价共性指标体系框架（</w:t>
      </w:r>
      <w:r>
        <w:rPr>
          <w:rFonts w:ascii="仿宋_GB2312" w:hAnsi="Calibri" w:eastAsia="仿宋_GB2312"/>
          <w:sz w:val="32"/>
          <w:szCs w:val="32"/>
        </w:rPr>
        <w:t>2020</w:t>
      </w:r>
      <w:r>
        <w:rPr>
          <w:rFonts w:hint="eastAsia" w:ascii="仿宋_GB2312" w:hAnsi="Calibri" w:eastAsia="仿宋_GB2312"/>
          <w:sz w:val="32"/>
          <w:szCs w:val="32"/>
        </w:rPr>
        <w:t>年度）》进行自评，总体得分93.50分，具体得分情况如下。</w:t>
      </w:r>
    </w:p>
    <w:p>
      <w:pPr>
        <w:spacing w:line="540" w:lineRule="exact"/>
        <w:rPr>
          <w:rFonts w:ascii="仿宋_GB2312" w:eastAsia="仿宋_GB2312"/>
          <w:sz w:val="32"/>
          <w:szCs w:val="32"/>
        </w:rPr>
        <w:sectPr>
          <w:pgSz w:w="11906" w:h="16838"/>
          <w:pgMar w:top="1440" w:right="1800" w:bottom="1440" w:left="1800" w:header="851" w:footer="992" w:gutter="0"/>
          <w:cols w:space="425" w:num="1"/>
          <w:docGrid w:type="lines" w:linePitch="312" w:charSpace="0"/>
        </w:sectPr>
      </w:pPr>
    </w:p>
    <w:p>
      <w:pPr>
        <w:tabs>
          <w:tab w:val="center" w:pos="6979"/>
        </w:tabs>
        <w:spacing w:line="620" w:lineRule="exact"/>
        <w:jc w:val="left"/>
        <w:rPr>
          <w:rFonts w:ascii="仿宋_GB2312" w:eastAsia="仿宋_GB2312"/>
          <w:sz w:val="28"/>
          <w:szCs w:val="28"/>
        </w:rPr>
      </w:pPr>
      <w:r>
        <w:rPr>
          <w:rFonts w:hint="eastAsia" w:ascii="仿宋_GB2312" w:eastAsia="仿宋_GB2312" w:cs="仿宋_GB2312"/>
          <w:sz w:val="28"/>
          <w:szCs w:val="28"/>
        </w:rPr>
        <w:t>附件：</w:t>
      </w:r>
    </w:p>
    <w:p>
      <w:pPr>
        <w:tabs>
          <w:tab w:val="center" w:pos="6979"/>
        </w:tabs>
        <w:spacing w:line="620" w:lineRule="exact"/>
        <w:jc w:val="center"/>
        <w:rPr>
          <w:sz w:val="28"/>
          <w:szCs w:val="28"/>
        </w:rPr>
      </w:pPr>
      <w:r>
        <w:rPr>
          <w:rFonts w:hint="eastAsia" w:ascii="方正小标宋简体" w:eastAsia="方正小标宋简体" w:cs="方正小标宋简体"/>
          <w:sz w:val="30"/>
          <w:szCs w:val="30"/>
        </w:rPr>
        <w:t>部门整体支出绩效评价共性指标体系框架（</w:t>
      </w:r>
      <w:r>
        <w:rPr>
          <w:rFonts w:ascii="方正小标宋简体" w:eastAsia="方正小标宋简体" w:cs="方正小标宋简体"/>
          <w:sz w:val="30"/>
          <w:szCs w:val="30"/>
        </w:rPr>
        <w:t>20</w:t>
      </w:r>
      <w:r>
        <w:rPr>
          <w:rFonts w:hint="eastAsia" w:ascii="方正小标宋简体" w:eastAsia="方正小标宋简体" w:cs="方正小标宋简体"/>
          <w:sz w:val="30"/>
          <w:szCs w:val="30"/>
        </w:rPr>
        <w:t>20年修订）</w:t>
      </w:r>
    </w:p>
    <w:tbl>
      <w:tblPr>
        <w:tblStyle w:val="9"/>
        <w:tblW w:w="15163" w:type="dxa"/>
        <w:tblInd w:w="0" w:type="dxa"/>
        <w:tblLayout w:type="fixed"/>
        <w:tblCellMar>
          <w:top w:w="0" w:type="dxa"/>
          <w:left w:w="108" w:type="dxa"/>
          <w:bottom w:w="0" w:type="dxa"/>
          <w:right w:w="108" w:type="dxa"/>
        </w:tblCellMar>
      </w:tblPr>
      <w:tblGrid>
        <w:gridCol w:w="577"/>
        <w:gridCol w:w="567"/>
        <w:gridCol w:w="567"/>
        <w:gridCol w:w="567"/>
        <w:gridCol w:w="851"/>
        <w:gridCol w:w="567"/>
        <w:gridCol w:w="2536"/>
        <w:gridCol w:w="5812"/>
        <w:gridCol w:w="822"/>
        <w:gridCol w:w="2297"/>
      </w:tblGrid>
      <w:tr>
        <w:tblPrEx>
          <w:tblCellMar>
            <w:top w:w="0" w:type="dxa"/>
            <w:left w:w="108" w:type="dxa"/>
            <w:bottom w:w="0" w:type="dxa"/>
            <w:right w:w="108" w:type="dxa"/>
          </w:tblCellMar>
        </w:tblPrEx>
        <w:trPr>
          <w:trHeight w:val="180" w:hRule="atLeast"/>
          <w:tblHeader/>
        </w:trPr>
        <w:tc>
          <w:tcPr>
            <w:tcW w:w="3696" w:type="dxa"/>
            <w:gridSpan w:val="6"/>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评价指标</w:t>
            </w:r>
          </w:p>
        </w:tc>
        <w:tc>
          <w:tcPr>
            <w:tcW w:w="2536"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指标说明</w:t>
            </w:r>
          </w:p>
        </w:tc>
        <w:tc>
          <w:tcPr>
            <w:tcW w:w="5812"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参考评分标准</w:t>
            </w:r>
          </w:p>
        </w:tc>
        <w:tc>
          <w:tcPr>
            <w:tcW w:w="822" w:type="dxa"/>
            <w:vMerge w:val="restart"/>
            <w:tcBorders>
              <w:top w:val="single" w:color="auto" w:sz="4" w:space="0"/>
              <w:left w:val="nil"/>
              <w:right w:val="single" w:color="auto" w:sz="4" w:space="0"/>
            </w:tcBorders>
            <w:vAlign w:val="center"/>
          </w:tcPr>
          <w:p>
            <w:pPr>
              <w:spacing w:line="320" w:lineRule="exact"/>
              <w:jc w:val="center"/>
              <w:rPr>
                <w:rFonts w:ascii="黑体" w:hAnsi="黑体" w:eastAsia="黑体" w:cs="黑体"/>
                <w:kern w:val="0"/>
              </w:rPr>
            </w:pPr>
            <w:r>
              <w:rPr>
                <w:rFonts w:hint="eastAsia" w:ascii="黑体" w:hAnsi="黑体" w:eastAsia="黑体"/>
                <w:kern w:val="0"/>
                <w:szCs w:val="21"/>
              </w:rPr>
              <w:t>得分情况</w:t>
            </w:r>
          </w:p>
        </w:tc>
        <w:tc>
          <w:tcPr>
            <w:tcW w:w="2297" w:type="dxa"/>
            <w:vMerge w:val="restart"/>
            <w:tcBorders>
              <w:top w:val="single" w:color="auto" w:sz="4" w:space="0"/>
              <w:left w:val="nil"/>
              <w:right w:val="single" w:color="auto" w:sz="4" w:space="0"/>
            </w:tcBorders>
            <w:vAlign w:val="center"/>
          </w:tcPr>
          <w:p>
            <w:pPr>
              <w:spacing w:line="320" w:lineRule="exact"/>
              <w:jc w:val="center"/>
              <w:rPr>
                <w:rFonts w:ascii="黑体" w:hAnsi="黑体" w:eastAsia="黑体" w:cs="黑体"/>
                <w:kern w:val="0"/>
              </w:rPr>
            </w:pPr>
            <w:r>
              <w:rPr>
                <w:rFonts w:hint="eastAsia" w:ascii="黑体" w:hAnsi="黑体" w:eastAsia="黑体"/>
                <w:kern w:val="0"/>
                <w:szCs w:val="21"/>
              </w:rPr>
              <w:t>扣分</w:t>
            </w:r>
            <w:r>
              <w:rPr>
                <w:rFonts w:hint="eastAsia" w:ascii="黑体" w:hAnsi="黑体" w:eastAsia="黑体"/>
                <w:kern w:val="0"/>
              </w:rPr>
              <w:t>情况及整改情况说明</w:t>
            </w:r>
          </w:p>
        </w:tc>
      </w:tr>
      <w:tr>
        <w:tblPrEx>
          <w:tblCellMar>
            <w:top w:w="0" w:type="dxa"/>
            <w:left w:w="108" w:type="dxa"/>
            <w:bottom w:w="0" w:type="dxa"/>
            <w:right w:w="108" w:type="dxa"/>
          </w:tblCellMar>
        </w:tblPrEx>
        <w:trPr>
          <w:trHeight w:val="463" w:hRule="atLeast"/>
          <w:tblHeader/>
        </w:trPr>
        <w:tc>
          <w:tcPr>
            <w:tcW w:w="1144" w:type="dxa"/>
            <w:gridSpan w:val="2"/>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一级指标</w:t>
            </w:r>
          </w:p>
        </w:tc>
        <w:tc>
          <w:tcPr>
            <w:tcW w:w="1134"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二级指标</w:t>
            </w:r>
          </w:p>
        </w:tc>
        <w:tc>
          <w:tcPr>
            <w:tcW w:w="1418"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三级指标</w:t>
            </w:r>
          </w:p>
        </w:tc>
        <w:tc>
          <w:tcPr>
            <w:tcW w:w="2536"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5812"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822" w:type="dxa"/>
            <w:vMerge w:val="continue"/>
            <w:tcBorders>
              <w:left w:val="nil"/>
              <w:right w:val="single" w:color="auto" w:sz="4" w:space="0"/>
            </w:tcBorders>
          </w:tcPr>
          <w:p>
            <w:pPr>
              <w:spacing w:line="320" w:lineRule="exact"/>
              <w:jc w:val="center"/>
              <w:rPr>
                <w:rFonts w:ascii="黑体" w:hAnsi="黑体" w:eastAsia="黑体"/>
                <w:kern w:val="0"/>
                <w:sz w:val="15"/>
                <w:szCs w:val="15"/>
              </w:rPr>
            </w:pPr>
          </w:p>
        </w:tc>
        <w:tc>
          <w:tcPr>
            <w:tcW w:w="2297" w:type="dxa"/>
            <w:vMerge w:val="continue"/>
            <w:tcBorders>
              <w:left w:val="nil"/>
              <w:right w:val="single" w:color="auto" w:sz="4" w:space="0"/>
            </w:tcBorders>
          </w:tcPr>
          <w:p>
            <w:pPr>
              <w:spacing w:line="320" w:lineRule="exact"/>
              <w:jc w:val="center"/>
              <w:rPr>
                <w:rFonts w:ascii="黑体" w:hAnsi="黑体" w:eastAsia="黑体"/>
                <w:kern w:val="0"/>
                <w:sz w:val="15"/>
                <w:szCs w:val="15"/>
              </w:rPr>
            </w:pPr>
          </w:p>
        </w:tc>
      </w:tr>
      <w:tr>
        <w:tblPrEx>
          <w:tblCellMar>
            <w:top w:w="0" w:type="dxa"/>
            <w:left w:w="108" w:type="dxa"/>
            <w:bottom w:w="0" w:type="dxa"/>
            <w:right w:w="108" w:type="dxa"/>
          </w:tblCellMar>
        </w:tblPrEx>
        <w:trPr>
          <w:trHeight w:val="774" w:hRule="atLeast"/>
          <w:tblHeader/>
        </w:trPr>
        <w:tc>
          <w:tcPr>
            <w:tcW w:w="577" w:type="dxa"/>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851"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2536"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5812"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822" w:type="dxa"/>
            <w:vMerge w:val="continue"/>
            <w:tcBorders>
              <w:left w:val="nil"/>
              <w:bottom w:val="single" w:color="auto" w:sz="4" w:space="0"/>
              <w:right w:val="single" w:color="auto" w:sz="4" w:space="0"/>
            </w:tcBorders>
          </w:tcPr>
          <w:p>
            <w:pPr>
              <w:widowControl/>
              <w:spacing w:line="320" w:lineRule="exact"/>
              <w:jc w:val="center"/>
              <w:rPr>
                <w:rFonts w:ascii="黑体" w:hAnsi="黑体" w:eastAsia="黑体"/>
                <w:kern w:val="0"/>
                <w:szCs w:val="21"/>
              </w:rPr>
            </w:pPr>
          </w:p>
        </w:tc>
        <w:tc>
          <w:tcPr>
            <w:tcW w:w="2297" w:type="dxa"/>
            <w:vMerge w:val="continue"/>
            <w:tcBorders>
              <w:left w:val="nil"/>
              <w:bottom w:val="single" w:color="auto" w:sz="4" w:space="0"/>
              <w:right w:val="single" w:color="auto" w:sz="4" w:space="0"/>
            </w:tcBorders>
          </w:tcPr>
          <w:p>
            <w:pPr>
              <w:widowControl/>
              <w:spacing w:line="320" w:lineRule="exact"/>
              <w:jc w:val="center"/>
              <w:rPr>
                <w:rFonts w:ascii="黑体" w:hAnsi="黑体" w:eastAsia="黑体"/>
                <w:kern w:val="0"/>
                <w:szCs w:val="21"/>
              </w:rPr>
            </w:pPr>
          </w:p>
        </w:tc>
      </w:tr>
      <w:tr>
        <w:tblPrEx>
          <w:tblCellMar>
            <w:top w:w="0" w:type="dxa"/>
            <w:left w:w="108" w:type="dxa"/>
            <w:bottom w:w="0" w:type="dxa"/>
            <w:right w:w="108" w:type="dxa"/>
          </w:tblCellMar>
        </w:tblPrEx>
        <w:trPr>
          <w:trHeight w:val="3741"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部门决策</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25</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预算编制</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10</w:t>
            </w: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预算编制合理性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部门（单位）预算的合理性，即是否符合本部门职责、是否符合新区党工委、管委会的方针政策和工作要求，资金有无根据项目的轻重缓急进行分配。</w:t>
            </w:r>
          </w:p>
        </w:tc>
        <w:tc>
          <w:tcPr>
            <w:tcW w:w="5812"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ascii="宋体" w:hAnsi="宋体" w:cs="宋体"/>
                <w:kern w:val="0"/>
              </w:rPr>
              <w:t xml:space="preserve">   1.</w:t>
            </w:r>
            <w:r>
              <w:rPr>
                <w:rFonts w:hint="eastAsia" w:ascii="宋体" w:hAnsi="宋体" w:cs="宋体"/>
                <w:kern w:val="0"/>
              </w:rPr>
              <w:t>部门预算编制、分配符合本部门职责、符合新区党工委、管委会方针政策和工作要求（</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部门预算资金能根据年度工作重点，在不同项目、不同用途之间合理分配（</w:t>
            </w:r>
            <w:r>
              <w:rPr>
                <w:rFonts w:ascii="宋体" w:hAnsi="宋体" w:cs="宋体"/>
                <w:kern w:val="0"/>
              </w:rPr>
              <w:t>1</w:t>
            </w:r>
            <w:r>
              <w:rPr>
                <w:rFonts w:hint="eastAsia" w:ascii="宋体" w:hAnsi="宋体" w:cs="宋体"/>
                <w:kern w:val="0"/>
              </w:rPr>
              <w:t>分）；</w:t>
            </w:r>
            <w:r>
              <w:rPr>
                <w:rFonts w:ascii="宋体" w:hAnsi="宋体" w:cs="宋体"/>
                <w:kern w:val="0"/>
              </w:rPr>
              <w:br w:type="textWrapping"/>
            </w:r>
            <w:r>
              <w:rPr>
                <w:rFonts w:ascii="宋体" w:hAnsi="宋体" w:cs="宋体"/>
                <w:kern w:val="0"/>
              </w:rPr>
              <w:t xml:space="preserve">   3.</w:t>
            </w:r>
            <w:r>
              <w:rPr>
                <w:rFonts w:hint="eastAsia" w:ascii="宋体" w:hAnsi="宋体" w:cs="宋体"/>
                <w:kern w:val="0"/>
              </w:rPr>
              <w:t>专项资金预算编制细化程度合理，未出现因年中调剂导致部门预决算差异过大问题（</w:t>
            </w:r>
            <w:r>
              <w:rPr>
                <w:rFonts w:ascii="宋体" w:hAnsi="宋体" w:cs="宋体"/>
                <w:kern w:val="0"/>
              </w:rPr>
              <w:t>1</w:t>
            </w:r>
            <w:r>
              <w:rPr>
                <w:rFonts w:hint="eastAsia" w:ascii="宋体" w:hAnsi="宋体" w:cs="宋体"/>
                <w:kern w:val="0"/>
              </w:rPr>
              <w:t>分）；</w:t>
            </w:r>
            <w:r>
              <w:rPr>
                <w:rFonts w:ascii="宋体" w:hAnsi="宋体" w:cs="宋体"/>
                <w:kern w:val="0"/>
              </w:rPr>
              <w:br w:type="textWrapping"/>
            </w:r>
            <w:r>
              <w:rPr>
                <w:rFonts w:ascii="宋体" w:hAnsi="宋体" w:cs="宋体"/>
                <w:kern w:val="0"/>
              </w:rPr>
              <w:t xml:space="preserve">   4.</w:t>
            </w:r>
            <w:r>
              <w:rPr>
                <w:rFonts w:hint="eastAsia" w:ascii="宋体" w:hAnsi="宋体" w:cs="宋体"/>
                <w:kern w:val="0"/>
              </w:rPr>
              <w:t>功能分类和经济分类编制准确，年度中间无大量调剂，未发生项目之间频繁调剂（</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5.</w:t>
            </w:r>
            <w:r>
              <w:rPr>
                <w:rFonts w:hint="eastAsia" w:ascii="宋体" w:hAnsi="宋体" w:cs="宋体"/>
                <w:kern w:val="0"/>
              </w:rPr>
              <w:t>部门预算分配不固化，能根据实际情况合理调整，不存在项目支出进度慢、完成率低、绩效较差，但连年持续安排预算等不合理的情况（</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00" w:lineRule="exact"/>
              <w:jc w:val="left"/>
              <w:rPr>
                <w:rFonts w:ascii="宋体" w:hAnsi="宋体" w:cs="宋体"/>
                <w:kern w:val="0"/>
              </w:rPr>
            </w:pPr>
          </w:p>
        </w:tc>
      </w:tr>
      <w:tr>
        <w:tblPrEx>
          <w:tblCellMar>
            <w:top w:w="0" w:type="dxa"/>
            <w:left w:w="108" w:type="dxa"/>
            <w:bottom w:w="0" w:type="dxa"/>
            <w:right w:w="108" w:type="dxa"/>
          </w:tblCellMar>
        </w:tblPrEx>
        <w:trPr>
          <w:trHeight w:val="168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预算编制规范性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部门（单位）预算编制是否符合财政部门当年度关于预算编制在规范性、完整性、细化程度等方面的原则和要求。</w:t>
            </w:r>
          </w:p>
        </w:tc>
        <w:tc>
          <w:tcPr>
            <w:tcW w:w="5812"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kern w:val="0"/>
              </w:rPr>
            </w:pPr>
            <w:r>
              <w:rPr>
                <w:rFonts w:ascii="宋体" w:hAnsi="宋体" w:cs="宋体"/>
                <w:kern w:val="0"/>
              </w:rPr>
              <w:t>1.</w:t>
            </w:r>
            <w:r>
              <w:rPr>
                <w:rFonts w:hint="eastAsia" w:ascii="宋体" w:hAnsi="宋体" w:cs="宋体"/>
                <w:kern w:val="0"/>
              </w:rPr>
              <w:t>部门（单位）预算编制符合财政部门当年度关于预算编制的各项原则和要求，符合专项资金预算编制、项目库管理、新增项目事前绩效评估等要求（</w:t>
            </w:r>
            <w:r>
              <w:rPr>
                <w:rFonts w:ascii="宋体" w:hAnsi="宋体" w:cs="宋体"/>
                <w:kern w:val="0"/>
              </w:rPr>
              <w:t>5</w:t>
            </w:r>
            <w:r>
              <w:rPr>
                <w:rFonts w:hint="eastAsia" w:ascii="宋体" w:hAnsi="宋体" w:cs="宋体"/>
                <w:kern w:val="0"/>
              </w:rPr>
              <w:t>分）；</w:t>
            </w:r>
          </w:p>
          <w:p>
            <w:pPr>
              <w:widowControl/>
              <w:spacing w:line="300" w:lineRule="exact"/>
              <w:ind w:firstLine="315" w:firstLineChars="150"/>
              <w:jc w:val="left"/>
              <w:rPr>
                <w:rFonts w:ascii="宋体"/>
                <w:kern w:val="0"/>
              </w:rPr>
            </w:pPr>
            <w:r>
              <w:rPr>
                <w:rFonts w:ascii="宋体" w:hAnsi="宋体" w:cs="宋体"/>
                <w:kern w:val="0"/>
              </w:rPr>
              <w:t>2.</w:t>
            </w:r>
            <w:r>
              <w:rPr>
                <w:rFonts w:hint="eastAsia" w:ascii="宋体" w:hAnsi="宋体" w:cs="宋体"/>
                <w:kern w:val="0"/>
              </w:rPr>
              <w:t>发现一项不符合的扣</w:t>
            </w:r>
            <w:r>
              <w:rPr>
                <w:rFonts w:ascii="宋体" w:hAnsi="宋体" w:cs="宋体"/>
                <w:kern w:val="0"/>
              </w:rPr>
              <w:t>1</w:t>
            </w:r>
            <w:r>
              <w:rPr>
                <w:rFonts w:hint="eastAsia" w:ascii="宋体" w:hAnsi="宋体" w:cs="宋体"/>
                <w:kern w:val="0"/>
              </w:rPr>
              <w:t>分，扣完为止。</w:t>
            </w:r>
          </w:p>
          <w:p>
            <w:pPr>
              <w:widowControl/>
              <w:spacing w:line="300" w:lineRule="exact"/>
              <w:ind w:firstLine="315" w:firstLineChars="150"/>
              <w:jc w:val="left"/>
              <w:rPr>
                <w:rFonts w:ascii="宋体"/>
                <w:kern w:val="0"/>
              </w:rPr>
            </w:pPr>
            <w:r>
              <w:rPr>
                <w:rFonts w:hint="eastAsia" w:ascii="宋体" w:hAnsi="宋体" w:cs="宋体"/>
                <w:kern w:val="0"/>
              </w:rPr>
              <w:t>本指标需对照相应年度由财政部门印发的部门预算编制工作方案、通知和有关制度文件，根据实际情况评分。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hAnsi="宋体" w:cs="宋体"/>
                <w:kern w:val="0"/>
              </w:rPr>
            </w:pPr>
          </w:p>
        </w:tc>
      </w:tr>
      <w:tr>
        <w:tblPrEx>
          <w:tblCellMar>
            <w:top w:w="0" w:type="dxa"/>
            <w:left w:w="108" w:type="dxa"/>
            <w:bottom w:w="0" w:type="dxa"/>
            <w:right w:w="108" w:type="dxa"/>
          </w:tblCellMar>
        </w:tblPrEx>
        <w:trPr>
          <w:trHeight w:val="162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目标设置</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15</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绩效目标完整性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部门（单位）是否按要求编报项目绩效目标，是否依据充分、内容完整、覆盖全面、符合实际。</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部门（单位）按要求编报部门整体和项目的绩效目标，实现绩效目标全覆盖（</w:t>
            </w:r>
            <w:r>
              <w:rPr>
                <w:rFonts w:ascii="宋体" w:hAnsi="宋体" w:cs="宋体"/>
                <w:kern w:val="0"/>
              </w:rPr>
              <w:t>8</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没按要求编报绩效目标或绩效目标不符合要求的，一项扣</w:t>
            </w:r>
            <w:r>
              <w:rPr>
                <w:rFonts w:ascii="宋体" w:hAnsi="宋体" w:cs="宋体"/>
                <w:kern w:val="0"/>
              </w:rPr>
              <w:t>1</w:t>
            </w:r>
            <w:r>
              <w:rPr>
                <w:rFonts w:hint="eastAsia" w:ascii="宋体" w:hAnsi="宋体" w:cs="宋体"/>
                <w:kern w:val="0"/>
              </w:rPr>
              <w:t>分，扣完为止。</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8</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41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绩效指标明确性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7</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部门（单位）设定的绩效指标是否清晰、细化、可量化，用以反映和考核部门（单位）整体绩效目标的明细化情况。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ascii="宋体" w:hAnsi="宋体" w:cs="宋体"/>
                <w:kern w:val="0"/>
              </w:rPr>
              <w:t>1.</w:t>
            </w:r>
            <w:r>
              <w:rPr>
                <w:rFonts w:hint="eastAsia" w:ascii="宋体" w:hAnsi="宋体" w:cs="宋体"/>
                <w:kern w:val="0"/>
              </w:rPr>
              <w:t>绩效指标将部门整体绩效目标细化分解为具体工作任务，与部门年度任务数或计划数相对应（</w:t>
            </w:r>
            <w:r>
              <w:rPr>
                <w:rFonts w:ascii="宋体" w:hAnsi="宋体" w:cs="宋体"/>
                <w:kern w:val="0"/>
              </w:rPr>
              <w:t>2</w:t>
            </w:r>
            <w:r>
              <w:rPr>
                <w:rFonts w:hint="eastAsia" w:ascii="宋体" w:hAnsi="宋体" w:cs="宋体"/>
                <w:kern w:val="0"/>
              </w:rPr>
              <w:t>分）；</w:t>
            </w:r>
          </w:p>
          <w:p>
            <w:pPr>
              <w:widowControl/>
              <w:spacing w:line="320" w:lineRule="exact"/>
              <w:ind w:firstLine="420" w:firstLineChars="200"/>
              <w:rPr>
                <w:rFonts w:ascii="宋体"/>
                <w:kern w:val="0"/>
              </w:rPr>
            </w:pPr>
            <w:r>
              <w:rPr>
                <w:rFonts w:ascii="宋体" w:hAnsi="宋体" w:cs="宋体"/>
                <w:kern w:val="0"/>
              </w:rPr>
              <w:t>2.</w:t>
            </w:r>
            <w:r>
              <w:rPr>
                <w:rFonts w:hint="eastAsia" w:ascii="宋体" w:hAnsi="宋体" w:cs="宋体"/>
                <w:kern w:val="0"/>
              </w:rPr>
              <w:t>绩效指标中包含能够明确体现部门（单位）履职效果的社会、经济、生态效益指标（</w:t>
            </w:r>
            <w:r>
              <w:rPr>
                <w:rFonts w:ascii="宋体" w:hAnsi="宋体" w:cs="宋体"/>
                <w:kern w:val="0"/>
              </w:rPr>
              <w:t>2</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hint="eastAsia" w:ascii="宋体" w:hAnsi="宋体" w:cs="宋体"/>
                <w:kern w:val="0"/>
              </w:rPr>
              <w:t>绩效指标具有清晰、可衡量的指标值（</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4</w:t>
            </w:r>
            <w:r>
              <w:rPr>
                <w:rFonts w:ascii="宋体" w:cs="宋体"/>
                <w:kern w:val="0"/>
              </w:rPr>
              <w:t>.</w:t>
            </w:r>
            <w:r>
              <w:rPr>
                <w:rFonts w:hint="eastAsia" w:ascii="宋体" w:hAnsi="宋体" w:cs="宋体"/>
                <w:kern w:val="0"/>
              </w:rPr>
              <w:t>绩效指标包含可量化的指标（</w:t>
            </w:r>
            <w:r>
              <w:rPr>
                <w:rFonts w:ascii="宋体" w:hAnsi="宋体" w:cs="宋体"/>
                <w:kern w:val="0"/>
              </w:rPr>
              <w:t>1</w:t>
            </w:r>
            <w:r>
              <w:rPr>
                <w:rFonts w:hint="eastAsia" w:ascii="宋体" w:hAnsi="宋体" w:cs="宋体"/>
                <w:kern w:val="0"/>
              </w:rPr>
              <w:t>分）；</w:t>
            </w:r>
          </w:p>
          <w:p>
            <w:pPr>
              <w:widowControl/>
              <w:spacing w:line="320" w:lineRule="exact"/>
              <w:rPr>
                <w:rFonts w:ascii="宋体"/>
                <w:kern w:val="0"/>
              </w:rPr>
            </w:pPr>
            <w:r>
              <w:rPr>
                <w:rFonts w:ascii="宋体" w:hAnsi="宋体" w:cs="宋体"/>
                <w:kern w:val="0"/>
              </w:rPr>
              <w:t xml:space="preserve">    5</w:t>
            </w:r>
            <w:r>
              <w:rPr>
                <w:rFonts w:ascii="宋体" w:cs="宋体"/>
                <w:kern w:val="0"/>
              </w:rPr>
              <w:t>.</w:t>
            </w:r>
            <w:r>
              <w:rPr>
                <w:rFonts w:hint="eastAsia" w:ascii="宋体" w:hAnsi="宋体" w:cs="宋体"/>
                <w:kern w:val="0"/>
              </w:rPr>
              <w:t>绩效目标的目标值测算能提供相关依据或符合客观实际情况（</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7</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359"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20</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资金管理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85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政府采购执行情况</w:t>
            </w:r>
          </w:p>
        </w:tc>
        <w:tc>
          <w:tcPr>
            <w:tcW w:w="56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部门（单位）本年度实际政府采购金额与年度政府采购预算的比率，用以反映和考核部门（单位）政府采购预算执行情况；政府采购政策功能的执行和落实情况。</w:t>
            </w:r>
          </w:p>
        </w:tc>
        <w:tc>
          <w:tcPr>
            <w:tcW w:w="5812" w:type="dxa"/>
            <w:tcBorders>
              <w:top w:val="single" w:color="auto" w:sz="4" w:space="0"/>
              <w:left w:val="nil"/>
              <w:bottom w:val="single" w:color="auto" w:sz="4" w:space="0"/>
              <w:right w:val="single" w:color="auto" w:sz="4" w:space="0"/>
            </w:tcBorders>
            <w:vAlign w:val="center"/>
          </w:tcPr>
          <w:p>
            <w:pPr>
              <w:widowControl/>
              <w:spacing w:line="320" w:lineRule="exact"/>
              <w:ind w:firstLine="405"/>
              <w:rPr>
                <w:rFonts w:ascii="宋体"/>
                <w:kern w:val="0"/>
              </w:rPr>
            </w:pPr>
            <w:r>
              <w:rPr>
                <w:rFonts w:ascii="宋体" w:hAnsi="宋体" w:cs="宋体"/>
                <w:kern w:val="0"/>
              </w:rPr>
              <w:t>1.</w:t>
            </w:r>
            <w:r>
              <w:rPr>
                <w:rFonts w:hint="eastAsia" w:ascii="宋体" w:hAnsi="宋体" w:cs="宋体"/>
                <w:kern w:val="0"/>
              </w:rPr>
              <w:t>政府采购执行率得分</w:t>
            </w:r>
            <w:r>
              <w:rPr>
                <w:rFonts w:ascii="宋体" w:hAnsi="宋体" w:cs="宋体"/>
                <w:kern w:val="0"/>
              </w:rPr>
              <w:t>=</w:t>
            </w:r>
            <w:r>
              <w:rPr>
                <w:rFonts w:hint="eastAsia" w:ascii="宋体" w:hAnsi="宋体" w:cs="宋体"/>
                <w:kern w:val="0"/>
              </w:rPr>
              <w:t>政府采购执行率×</w:t>
            </w:r>
            <w:r>
              <w:rPr>
                <w:rFonts w:ascii="宋体" w:hAnsi="宋体" w:cs="宋体"/>
                <w:kern w:val="0"/>
              </w:rPr>
              <w:t>1</w:t>
            </w:r>
            <w:r>
              <w:rPr>
                <w:rFonts w:hint="eastAsia" w:ascii="宋体" w:hAnsi="宋体" w:cs="宋体"/>
                <w:kern w:val="0"/>
              </w:rPr>
              <w:t>分</w:t>
            </w:r>
            <w:r>
              <w:rPr>
                <w:rFonts w:ascii="宋体"/>
                <w:kern w:val="0"/>
              </w:rPr>
              <w:br w:type="textWrapping"/>
            </w:r>
            <w:r>
              <w:rPr>
                <w:rFonts w:hint="eastAsia" w:ascii="宋体" w:hAnsi="宋体" w:cs="宋体"/>
                <w:kern w:val="0"/>
              </w:rPr>
              <w:t>政府采购执行率</w:t>
            </w:r>
            <w:r>
              <w:rPr>
                <w:rFonts w:ascii="宋体" w:hAnsi="宋体" w:cs="宋体"/>
                <w:kern w:val="0"/>
              </w:rPr>
              <w:t>=</w:t>
            </w:r>
            <w:r>
              <w:rPr>
                <w:rFonts w:hint="eastAsia" w:ascii="宋体" w:hAnsi="宋体" w:cs="宋体"/>
                <w:kern w:val="0"/>
              </w:rPr>
              <w:t>（实际采购金额合计数</w:t>
            </w:r>
            <w:r>
              <w:rPr>
                <w:rFonts w:ascii="宋体" w:hAnsi="宋体" w:cs="宋体"/>
                <w:kern w:val="0"/>
              </w:rPr>
              <w:t>/</w:t>
            </w:r>
            <w:r>
              <w:rPr>
                <w:rFonts w:hint="eastAsia" w:ascii="宋体" w:hAnsi="宋体" w:cs="宋体"/>
                <w:kern w:val="0"/>
              </w:rPr>
              <w:t>采购计划金额合计数）×</w:t>
            </w:r>
            <w:r>
              <w:rPr>
                <w:rFonts w:ascii="宋体" w:hAnsi="宋体" w:cs="宋体"/>
                <w:kern w:val="0"/>
              </w:rPr>
              <w:t>100%</w:t>
            </w:r>
            <w:r>
              <w:rPr>
                <w:rFonts w:ascii="宋体" w:hAnsi="宋体" w:cs="宋体"/>
                <w:kern w:val="0"/>
              </w:rPr>
              <w:br w:type="textWrapping"/>
            </w:r>
            <w:r>
              <w:rPr>
                <w:rFonts w:hint="eastAsia" w:ascii="宋体" w:hAnsi="宋体" w:cs="宋体"/>
                <w:kern w:val="0"/>
              </w:rPr>
              <w:t>如实际采购金额大于采购计划金额，本项得</w:t>
            </w:r>
            <w:r>
              <w:rPr>
                <w:rFonts w:ascii="宋体" w:cs="宋体"/>
                <w:kern w:val="0"/>
              </w:rPr>
              <w:t>0</w:t>
            </w:r>
            <w:r>
              <w:rPr>
                <w:rFonts w:hint="eastAsia" w:ascii="宋体" w:hAnsi="宋体" w:cs="宋体"/>
                <w:kern w:val="0"/>
              </w:rPr>
              <w:t>分。</w:t>
            </w:r>
            <w:r>
              <w:rPr>
                <w:rFonts w:ascii="宋体"/>
                <w:kern w:val="0"/>
              </w:rPr>
              <w:br w:type="textWrapping"/>
            </w:r>
            <w:r>
              <w:rPr>
                <w:rFonts w:hint="eastAsia" w:ascii="宋体" w:hAnsi="宋体" w:cs="宋体"/>
                <w:kern w:val="0"/>
              </w:rPr>
              <w:t>政府采购预算是指采购机关根据事业发展计划和行政任务编制的</w:t>
            </w:r>
            <w:r>
              <w:rPr>
                <w:rFonts w:hint="eastAsia" w:ascii="宋体" w:hAnsi="宋体" w:cs="宋体"/>
                <w:kern w:val="0"/>
                <w:lang w:eastAsia="zh-CN"/>
              </w:rPr>
              <w:t>，</w:t>
            </w:r>
            <w:r>
              <w:rPr>
                <w:rFonts w:hint="eastAsia" w:ascii="宋体" w:hAnsi="宋体" w:cs="宋体"/>
                <w:kern w:val="0"/>
              </w:rPr>
              <w:t>并经过规定程序批准的年度政府采购计划。</w:t>
            </w:r>
          </w:p>
          <w:p>
            <w:pPr>
              <w:widowControl/>
              <w:spacing w:line="320" w:lineRule="exact"/>
              <w:ind w:firstLine="405"/>
              <w:rPr>
                <w:rFonts w:ascii="宋体"/>
                <w:kern w:val="0"/>
              </w:rPr>
            </w:pPr>
            <w:r>
              <w:rPr>
                <w:rFonts w:ascii="宋体" w:hAnsi="宋体" w:cs="宋体"/>
                <w:kern w:val="0"/>
              </w:rPr>
              <w:t>2.</w:t>
            </w:r>
            <w:r>
              <w:rPr>
                <w:rFonts w:hint="eastAsia" w:ascii="宋体" w:hAnsi="宋体" w:cs="宋体"/>
                <w:kern w:val="0"/>
              </w:rPr>
              <w:t>政府采购政策功能的执行和落实情况（</w:t>
            </w:r>
            <w:r>
              <w:rPr>
                <w:rFonts w:ascii="宋体" w:hAnsi="宋体" w:cs="宋体"/>
                <w:kern w:val="0"/>
              </w:rPr>
              <w:t>1</w:t>
            </w:r>
            <w:r>
              <w:rPr>
                <w:rFonts w:hint="eastAsia" w:ascii="宋体" w:hAnsi="宋体" w:cs="宋体"/>
                <w:kern w:val="0"/>
              </w:rPr>
              <w:t>分），落实不到位的酌情扣分。</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81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财务合规性</w:t>
            </w:r>
          </w:p>
        </w:tc>
        <w:tc>
          <w:tcPr>
            <w:tcW w:w="56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资金支出规范性，包括资金管理、费用支出等制度是否严格执行；资金调整、调剂是否规范；会计核算是否规范、是否存在支出依据不合规、虚列项目支出的情况；是否存在截留、挤占、挪用项目资金情况。</w:t>
            </w:r>
          </w:p>
        </w:tc>
        <w:tc>
          <w:tcPr>
            <w:tcW w:w="5812" w:type="dxa"/>
            <w:tcBorders>
              <w:top w:val="single" w:color="auto" w:sz="4" w:space="0"/>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资金支出规范性（</w:t>
            </w:r>
            <w:r>
              <w:rPr>
                <w:rFonts w:ascii="宋体" w:hAnsi="宋体" w:cs="宋体"/>
                <w:kern w:val="0"/>
              </w:rPr>
              <w:t>1</w:t>
            </w:r>
            <w:r>
              <w:rPr>
                <w:rFonts w:hint="eastAsia" w:ascii="宋体" w:hAnsi="宋体" w:cs="宋体"/>
                <w:kern w:val="0"/>
              </w:rPr>
              <w:t>分）。资金管理、费用标准、支付符合有关制度规定，按事项完成进度支付资金的，得</w:t>
            </w:r>
            <w:r>
              <w:rPr>
                <w:rFonts w:ascii="宋体" w:hAnsi="宋体" w:cs="宋体"/>
                <w:kern w:val="0"/>
              </w:rPr>
              <w:t>1</w:t>
            </w:r>
            <w:r>
              <w:rPr>
                <w:rFonts w:hint="eastAsia" w:ascii="宋体" w:hAnsi="宋体" w:cs="宋体"/>
                <w:kern w:val="0"/>
              </w:rPr>
              <w:t>分，否则酌情扣分。</w:t>
            </w:r>
            <w:r>
              <w:rPr>
                <w:rFonts w:ascii="宋体"/>
                <w:kern w:val="0"/>
              </w:rPr>
              <w:br w:type="textWrapping"/>
            </w:r>
            <w:r>
              <w:rPr>
                <w:rFonts w:ascii="宋体" w:hAnsi="宋体" w:cs="宋体"/>
                <w:kern w:val="0"/>
              </w:rPr>
              <w:t xml:space="preserve">    2.</w:t>
            </w:r>
            <w:r>
              <w:rPr>
                <w:rFonts w:hint="eastAsia" w:ascii="宋体" w:hAnsi="宋体" w:cs="宋体"/>
                <w:kern w:val="0"/>
              </w:rPr>
              <w:t>资金调整、调剂规范性（</w:t>
            </w:r>
            <w:r>
              <w:rPr>
                <w:rFonts w:ascii="宋体" w:hAnsi="宋体" w:cs="宋体"/>
                <w:kern w:val="0"/>
              </w:rPr>
              <w:t>1</w:t>
            </w:r>
            <w:r>
              <w:rPr>
                <w:rFonts w:hint="eastAsia" w:ascii="宋体" w:hAnsi="宋体" w:cs="宋体"/>
                <w:kern w:val="0"/>
              </w:rPr>
              <w:t>分）。调整、调剂资金累计在本单位部门预算总规模</w:t>
            </w:r>
            <w:r>
              <w:rPr>
                <w:rFonts w:ascii="宋体" w:hAnsi="宋体" w:cs="宋体"/>
                <w:kern w:val="0"/>
              </w:rPr>
              <w:t>10%</w:t>
            </w:r>
            <w:r>
              <w:rPr>
                <w:rFonts w:hint="eastAsia" w:ascii="宋体" w:hAnsi="宋体" w:cs="宋体"/>
                <w:kern w:val="0"/>
              </w:rPr>
              <w:t>以内的，得</w:t>
            </w:r>
            <w:r>
              <w:rPr>
                <w:rFonts w:ascii="宋体" w:hAnsi="宋体" w:cs="宋体"/>
                <w:kern w:val="0"/>
              </w:rPr>
              <w:t>1</w:t>
            </w:r>
            <w:r>
              <w:rPr>
                <w:rFonts w:hint="eastAsia" w:ascii="宋体" w:hAnsi="宋体" w:cs="宋体"/>
                <w:kern w:val="0"/>
              </w:rPr>
              <w:t>分；超出</w:t>
            </w:r>
            <w:r>
              <w:rPr>
                <w:rFonts w:ascii="宋体" w:hAnsi="宋体" w:cs="宋体"/>
                <w:kern w:val="0"/>
              </w:rPr>
              <w:t>10%</w:t>
            </w:r>
            <w:r>
              <w:rPr>
                <w:rFonts w:hint="eastAsia" w:ascii="宋体" w:hAnsi="宋体" w:cs="宋体"/>
                <w:kern w:val="0"/>
              </w:rPr>
              <w:t>的，超出一个百分点扣</w:t>
            </w:r>
            <w:r>
              <w:rPr>
                <w:rFonts w:ascii="宋体" w:hAnsi="宋体" w:cs="宋体"/>
                <w:kern w:val="0"/>
              </w:rPr>
              <w:t>0.1</w:t>
            </w:r>
            <w:r>
              <w:rPr>
                <w:rFonts w:hint="eastAsia" w:ascii="宋体" w:hAnsi="宋体" w:cs="宋体"/>
                <w:kern w:val="0"/>
              </w:rPr>
              <w:t>分，直至</w:t>
            </w:r>
            <w:r>
              <w:rPr>
                <w:rFonts w:ascii="宋体" w:hAnsi="宋体" w:cs="宋体"/>
                <w:kern w:val="0"/>
              </w:rPr>
              <w:t>1</w:t>
            </w:r>
            <w:r>
              <w:rPr>
                <w:rFonts w:hint="eastAsia" w:ascii="宋体" w:hAnsi="宋体" w:cs="宋体"/>
                <w:kern w:val="0"/>
              </w:rPr>
              <w:t>分扣完为止。</w:t>
            </w:r>
          </w:p>
          <w:p>
            <w:pPr>
              <w:widowControl/>
              <w:spacing w:line="320" w:lineRule="exact"/>
              <w:ind w:firstLine="420" w:firstLineChars="200"/>
              <w:rPr>
                <w:rFonts w:ascii="宋体"/>
                <w:kern w:val="0"/>
              </w:rPr>
            </w:pPr>
            <w:r>
              <w:rPr>
                <w:rFonts w:ascii="宋体" w:hAnsi="宋体" w:cs="宋体"/>
                <w:kern w:val="0"/>
              </w:rPr>
              <w:t>3.</w:t>
            </w:r>
            <w:r>
              <w:rPr>
                <w:rFonts w:hint="eastAsia" w:ascii="宋体" w:hAnsi="宋体" w:cs="宋体"/>
                <w:kern w:val="0"/>
              </w:rPr>
              <w:t>会计核算规范性（</w:t>
            </w:r>
            <w:r>
              <w:rPr>
                <w:rFonts w:ascii="宋体" w:hAnsi="宋体" w:cs="宋体"/>
                <w:kern w:val="0"/>
              </w:rPr>
              <w:t>1</w:t>
            </w:r>
            <w:r>
              <w:rPr>
                <w:rFonts w:hint="eastAsia" w:ascii="宋体" w:hAnsi="宋体" w:cs="宋体"/>
                <w:kern w:val="0"/>
              </w:rPr>
              <w:t>分）。规范执行会计核算制度得</w:t>
            </w:r>
            <w:r>
              <w:rPr>
                <w:rFonts w:ascii="宋体" w:hAnsi="宋体" w:cs="宋体"/>
                <w:kern w:val="0"/>
              </w:rPr>
              <w:t>1</w:t>
            </w:r>
            <w:r>
              <w:rPr>
                <w:rFonts w:hint="eastAsia" w:ascii="宋体" w:hAnsi="宋体" w:cs="宋体"/>
                <w:kern w:val="0"/>
              </w:rPr>
              <w:t>分，未按规定设专账核算、支出凭证不符合规定或其他核算不规范，酌情扣分。</w:t>
            </w:r>
          </w:p>
          <w:p>
            <w:pPr>
              <w:widowControl/>
              <w:spacing w:line="320" w:lineRule="exact"/>
              <w:ind w:firstLine="420"/>
              <w:rPr>
                <w:rFonts w:ascii="宋体"/>
                <w:kern w:val="0"/>
              </w:rPr>
            </w:pPr>
            <w:r>
              <w:rPr>
                <w:rFonts w:ascii="宋体" w:hAnsi="宋体" w:cs="宋体"/>
                <w:kern w:val="0"/>
              </w:rPr>
              <w:t>4.</w:t>
            </w:r>
            <w:r>
              <w:rPr>
                <w:rFonts w:hint="eastAsia" w:ascii="宋体" w:hAnsi="宋体" w:cs="宋体"/>
                <w:kern w:val="0"/>
              </w:rPr>
              <w:t>发生超范围、超标准支出，虚列支出，截留、挤占、挪用资金的，以及其他不符合制度规定支出，本项指标得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429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预决算信息公开</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部门（单位）在被评价年度是否按照政府信息公开有关规定公开相关预决算信息，用以反映部门（单位）预决算管理的公开透明情况。</w:t>
            </w:r>
          </w:p>
        </w:tc>
        <w:tc>
          <w:tcPr>
            <w:tcW w:w="5812" w:type="dxa"/>
            <w:tcBorders>
              <w:top w:val="nil"/>
              <w:left w:val="nil"/>
              <w:bottom w:val="single" w:color="auto" w:sz="4" w:space="0"/>
              <w:right w:val="single" w:color="auto" w:sz="4" w:space="0"/>
            </w:tcBorders>
            <w:vAlign w:val="center"/>
          </w:tcPr>
          <w:p>
            <w:pPr>
              <w:ind w:firstLine="420" w:firstLineChars="200"/>
              <w:rPr>
                <w:rFonts w:ascii="宋体" w:hAnsi="宋体"/>
              </w:rPr>
            </w:pPr>
            <w:r>
              <w:rPr>
                <w:rFonts w:ascii="宋体" w:hAnsi="宋体"/>
              </w:rPr>
              <w:t>1.</w:t>
            </w:r>
            <w:r>
              <w:rPr>
                <w:rFonts w:hint="eastAsia" w:ascii="宋体" w:hAnsi="宋体"/>
              </w:rPr>
              <w:t>部门预算公开（</w:t>
            </w:r>
            <w:r>
              <w:rPr>
                <w:rFonts w:ascii="宋体" w:hAnsi="宋体"/>
              </w:rPr>
              <w:t>1.5</w:t>
            </w:r>
            <w:r>
              <w:rPr>
                <w:rFonts w:hint="eastAsia" w:ascii="宋体" w:hAnsi="宋体"/>
              </w:rPr>
              <w:t>分），按以下标准分档计分：</w:t>
            </w:r>
            <w:r>
              <w:rPr>
                <w:rFonts w:ascii="宋体" w:hAnsi="宋体"/>
              </w:rPr>
              <w:br w:type="textWrapping"/>
            </w:r>
            <w:r>
              <w:rPr>
                <w:rFonts w:hint="eastAsia" w:ascii="宋体" w:hAnsi="宋体"/>
              </w:rPr>
              <w:t>（</w:t>
            </w:r>
            <w:r>
              <w:rPr>
                <w:rFonts w:ascii="宋体" w:hAnsi="宋体"/>
              </w:rPr>
              <w:t>1</w:t>
            </w:r>
            <w:r>
              <w:rPr>
                <w:rFonts w:hint="eastAsia" w:ascii="宋体" w:hAnsi="宋体"/>
              </w:rPr>
              <w:t>）按规定内容、时限、范围等各项要求进行公开的，得</w:t>
            </w:r>
            <w:r>
              <w:rPr>
                <w:rFonts w:ascii="宋体" w:hAnsi="宋体"/>
              </w:rPr>
              <w:t>1.5</w:t>
            </w:r>
            <w:r>
              <w:rPr>
                <w:rFonts w:hint="eastAsia" w:ascii="宋体" w:hAnsi="宋体"/>
              </w:rPr>
              <w:t>分。</w:t>
            </w:r>
            <w:r>
              <w:rPr>
                <w:rFonts w:ascii="宋体" w:hAnsi="宋体"/>
              </w:rPr>
              <w:br w:type="textWrapping"/>
            </w:r>
            <w:r>
              <w:rPr>
                <w:rFonts w:hint="eastAsia" w:ascii="宋体" w:hAnsi="宋体"/>
              </w:rPr>
              <w:t>（</w:t>
            </w:r>
            <w:r>
              <w:rPr>
                <w:rFonts w:ascii="宋体" w:hAnsi="宋体"/>
              </w:rPr>
              <w:t>2</w:t>
            </w:r>
            <w:r>
              <w:rPr>
                <w:rFonts w:hint="eastAsia" w:ascii="宋体" w:hAnsi="宋体"/>
              </w:rPr>
              <w:t>）进行了公开，存在不符合时限、内容、范围等要求的，得</w:t>
            </w:r>
            <w:r>
              <w:rPr>
                <w:rFonts w:ascii="宋体" w:hAnsi="宋体"/>
              </w:rPr>
              <w:t>1</w:t>
            </w:r>
            <w:r>
              <w:rPr>
                <w:rFonts w:hint="eastAsia" w:ascii="宋体" w:hAnsi="宋体"/>
              </w:rPr>
              <w:t>分。</w:t>
            </w:r>
            <w:r>
              <w:rPr>
                <w:rFonts w:ascii="宋体" w:hAnsi="宋体"/>
              </w:rPr>
              <w:br w:type="textWrapping"/>
            </w:r>
            <w:r>
              <w:rPr>
                <w:rFonts w:hint="eastAsia" w:ascii="宋体" w:hAnsi="宋体"/>
              </w:rPr>
              <w:t>（</w:t>
            </w:r>
            <w:r>
              <w:rPr>
                <w:rFonts w:ascii="宋体" w:hAnsi="宋体"/>
              </w:rPr>
              <w:t>3</w:t>
            </w:r>
            <w:r>
              <w:rPr>
                <w:rFonts w:hint="eastAsia" w:ascii="宋体" w:hAnsi="宋体"/>
              </w:rPr>
              <w:t>）没有进行公开的，得</w:t>
            </w:r>
            <w:r>
              <w:rPr>
                <w:rFonts w:ascii="宋体" w:hAnsi="宋体"/>
              </w:rPr>
              <w:t>0</w:t>
            </w:r>
            <w:r>
              <w:rPr>
                <w:rFonts w:hint="eastAsia" w:ascii="宋体" w:hAnsi="宋体"/>
              </w:rPr>
              <w:t>分。</w:t>
            </w:r>
            <w:r>
              <w:rPr>
                <w:rFonts w:ascii="宋体" w:hAnsi="宋体"/>
              </w:rPr>
              <w:br w:type="textWrapping"/>
            </w:r>
            <w:r>
              <w:rPr>
                <w:rFonts w:ascii="宋体" w:hAnsi="宋体"/>
              </w:rPr>
              <w:t xml:space="preserve">    2.</w:t>
            </w:r>
            <w:r>
              <w:rPr>
                <w:rFonts w:hint="eastAsia" w:ascii="宋体" w:hAnsi="宋体"/>
              </w:rPr>
              <w:t>部门决算公开（</w:t>
            </w:r>
            <w:r>
              <w:rPr>
                <w:rFonts w:ascii="宋体" w:hAnsi="宋体"/>
              </w:rPr>
              <w:t>1.5</w:t>
            </w:r>
            <w:r>
              <w:rPr>
                <w:rFonts w:hint="eastAsia" w:ascii="宋体" w:hAnsi="宋体"/>
              </w:rPr>
              <w:t>分），按以下标准分档计分：</w:t>
            </w:r>
            <w:r>
              <w:rPr>
                <w:rFonts w:ascii="宋体" w:hAnsi="宋体"/>
              </w:rPr>
              <w:br w:type="textWrapping"/>
            </w:r>
            <w:r>
              <w:rPr>
                <w:rFonts w:hint="eastAsia" w:ascii="宋体" w:hAnsi="宋体"/>
              </w:rPr>
              <w:t>（</w:t>
            </w:r>
            <w:r>
              <w:rPr>
                <w:rFonts w:ascii="宋体" w:hAnsi="宋体"/>
              </w:rPr>
              <w:t>1</w:t>
            </w:r>
            <w:r>
              <w:rPr>
                <w:rFonts w:hint="eastAsia" w:ascii="宋体" w:hAnsi="宋体"/>
              </w:rPr>
              <w:t>）按规定内容、时限、范围等各项要求进行公开的，得</w:t>
            </w:r>
            <w:r>
              <w:rPr>
                <w:rFonts w:ascii="宋体" w:hAnsi="宋体"/>
              </w:rPr>
              <w:t>1.5</w:t>
            </w:r>
            <w:r>
              <w:rPr>
                <w:rFonts w:hint="eastAsia" w:ascii="宋体" w:hAnsi="宋体"/>
              </w:rPr>
              <w:t>分。</w:t>
            </w:r>
            <w:r>
              <w:rPr>
                <w:rFonts w:ascii="宋体" w:hAnsi="宋体"/>
              </w:rPr>
              <w:br w:type="textWrapping"/>
            </w:r>
            <w:r>
              <w:rPr>
                <w:rFonts w:hint="eastAsia" w:ascii="宋体" w:hAnsi="宋体"/>
              </w:rPr>
              <w:t>（</w:t>
            </w:r>
            <w:r>
              <w:rPr>
                <w:rFonts w:ascii="宋体" w:hAnsi="宋体"/>
              </w:rPr>
              <w:t>2</w:t>
            </w:r>
            <w:r>
              <w:rPr>
                <w:rFonts w:hint="eastAsia" w:ascii="宋体" w:hAnsi="宋体"/>
              </w:rPr>
              <w:t>）进行了公开，存在不符合时限、内容、范围等要求的，得</w:t>
            </w:r>
            <w:r>
              <w:rPr>
                <w:rFonts w:ascii="宋体" w:hAnsi="宋体"/>
              </w:rPr>
              <w:t>1</w:t>
            </w:r>
            <w:r>
              <w:rPr>
                <w:rFonts w:hint="eastAsia" w:ascii="宋体" w:hAnsi="宋体"/>
              </w:rPr>
              <w:t>分。</w:t>
            </w:r>
            <w:r>
              <w:rPr>
                <w:rFonts w:ascii="宋体" w:hAnsi="宋体"/>
              </w:rPr>
              <w:br w:type="textWrapping"/>
            </w:r>
            <w:r>
              <w:rPr>
                <w:rFonts w:hint="eastAsia" w:ascii="宋体" w:hAnsi="宋体"/>
              </w:rPr>
              <w:t>（</w:t>
            </w:r>
            <w:r>
              <w:rPr>
                <w:rFonts w:ascii="宋体" w:hAnsi="宋体"/>
              </w:rPr>
              <w:t>3</w:t>
            </w:r>
            <w:r>
              <w:rPr>
                <w:rFonts w:hint="eastAsia" w:ascii="宋体" w:hAnsi="宋体"/>
              </w:rPr>
              <w:t>）没有进行公开的，得</w:t>
            </w:r>
            <w:r>
              <w:rPr>
                <w:rFonts w:ascii="宋体" w:hAnsi="宋体"/>
              </w:rPr>
              <w:t>0</w:t>
            </w:r>
            <w:r>
              <w:rPr>
                <w:rFonts w:hint="eastAsia" w:ascii="宋体" w:hAnsi="宋体"/>
              </w:rPr>
              <w:t>分。</w:t>
            </w:r>
          </w:p>
          <w:p>
            <w:pPr>
              <w:rPr>
                <w:rFonts w:ascii="宋体" w:hAnsi="宋体"/>
              </w:rPr>
            </w:pPr>
            <w:r>
              <w:rPr>
                <w:rFonts w:ascii="宋体" w:hAnsi="宋体"/>
              </w:rPr>
              <w:t xml:space="preserve">    3.</w:t>
            </w:r>
            <w:r>
              <w:rPr>
                <w:rFonts w:hint="eastAsia" w:ascii="宋体" w:hAnsi="宋体"/>
              </w:rPr>
              <w:t>涉密部门（单位）按规定不需要公开相关预决算信息的直接得分。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49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4</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项目实施程序</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部门（单位）所有项目支出实施过程是否规范</w:t>
            </w:r>
            <w:r>
              <w:rPr>
                <w:rFonts w:ascii="宋体" w:cs="宋体"/>
                <w:kern w:val="0"/>
              </w:rPr>
              <w:t>,</w:t>
            </w:r>
            <w:r>
              <w:rPr>
                <w:rFonts w:hint="eastAsia" w:ascii="宋体" w:hAnsi="宋体" w:cs="宋体"/>
                <w:kern w:val="0"/>
              </w:rPr>
              <w:t>包括是否符合申报条件；申报、批复程序是否符合相关管理办法；项目招投标、调整、完成验收等是否履行相应手续等。</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项目的设立、调整按规定履行报批程序（</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项目招投标、建设、验收以及方案实施均严格执行相关制度规定（</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52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w:t>
            </w:r>
          </w:p>
          <w:p>
            <w:pPr>
              <w:widowControl/>
              <w:spacing w:line="320" w:lineRule="exact"/>
              <w:jc w:val="left"/>
              <w:rPr>
                <w:rFonts w:ascii="宋体"/>
                <w:kern w:val="0"/>
              </w:rPr>
            </w:pPr>
            <w:r>
              <w:rPr>
                <w:rFonts w:hint="eastAsia" w:ascii="宋体" w:hAnsi="宋体" w:cs="宋体"/>
                <w:kern w:val="0"/>
              </w:rPr>
              <w:t>监管</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部门（单位）对所实施项目（包括部门主管的专项资金和专项经费分配给区级各部门实施的项目）的检查、监控、督促整改等管理情况。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资金使用单位、基层资金管理单位建立有效资金管理和绩效运行监控机制，且执行情况良好（</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各主管部门按规定对主管的财政资金（含专项资金和专项经费）开展有效的检查、监控、督促整改（</w:t>
            </w:r>
            <w:r>
              <w:rPr>
                <w:rFonts w:ascii="宋体" w:hAnsi="宋体" w:cs="宋体"/>
                <w:kern w:val="0"/>
              </w:rPr>
              <w:t>1</w:t>
            </w:r>
            <w:r>
              <w:rPr>
                <w:rFonts w:hint="eastAsia" w:ascii="宋体" w:hAnsi="宋体" w:cs="宋体"/>
                <w:kern w:val="0"/>
              </w:rPr>
              <w:t>分），如无法提供开展检查监督相关证明材料，或被评价年度部门主管的专项资金绩效评价结果为差的，得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136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资产管理安全性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部门（单位）的资产是否保存完整、使用合规、配置合理、处置规范、收入及时足额上缴，用于反映和考核部门（单位）资产安全运行情况。</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资产配置合理、保管完整，账实相符（</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资产处置规范，有偿使用及处置收入及时足额上缴（</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31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固定资产利用率</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部门（单位）实际在用固定资产总额与所有固定资产总额的比例，用以反映和考核部门（单位）固定资产使用效率程度。</w:t>
            </w:r>
          </w:p>
        </w:tc>
        <w:tc>
          <w:tcPr>
            <w:tcW w:w="5812" w:type="dxa"/>
            <w:tcBorders>
              <w:top w:val="nil"/>
              <w:left w:val="nil"/>
              <w:bottom w:val="single" w:color="auto" w:sz="4" w:space="0"/>
              <w:right w:val="single" w:color="auto" w:sz="4" w:space="0"/>
            </w:tcBorders>
            <w:vAlign w:val="center"/>
          </w:tcPr>
          <w:p>
            <w:pPr>
              <w:widowControl/>
              <w:spacing w:line="300" w:lineRule="exact"/>
              <w:ind w:firstLine="420" w:firstLineChars="200"/>
              <w:rPr>
                <w:rFonts w:ascii="宋体" w:hAnsi="宋体" w:cs="宋体"/>
                <w:kern w:val="0"/>
              </w:rPr>
            </w:pPr>
            <w:r>
              <w:rPr>
                <w:rFonts w:hint="eastAsia" w:ascii="宋体" w:hAnsi="宋体" w:cs="宋体"/>
                <w:kern w:val="0"/>
              </w:rPr>
              <w:t>固定资产利用率</w:t>
            </w:r>
            <w:r>
              <w:rPr>
                <w:rFonts w:ascii="宋体" w:hAnsi="宋体" w:cs="宋体"/>
                <w:kern w:val="0"/>
              </w:rPr>
              <w:t>=</w:t>
            </w:r>
            <w:r>
              <w:rPr>
                <w:rFonts w:hint="eastAsia" w:ascii="宋体" w:hAnsi="宋体" w:cs="宋体"/>
                <w:kern w:val="0"/>
              </w:rPr>
              <w:t>（实际在用固定资产总额</w:t>
            </w:r>
            <w:r>
              <w:rPr>
                <w:rFonts w:ascii="宋体" w:hAnsi="宋体" w:cs="宋体"/>
                <w:kern w:val="0"/>
              </w:rPr>
              <w:t>/</w:t>
            </w:r>
            <w:r>
              <w:rPr>
                <w:rFonts w:hint="eastAsia" w:ascii="宋体" w:hAnsi="宋体" w:cs="宋体"/>
                <w:kern w:val="0"/>
              </w:rPr>
              <w:t>所有固定资产总额）×</w:t>
            </w:r>
            <w:r>
              <w:rPr>
                <w:rFonts w:ascii="宋体" w:hAnsi="宋体" w:cs="宋体"/>
                <w:kern w:val="0"/>
              </w:rPr>
              <w:t xml:space="preserve">100%    </w:t>
            </w:r>
          </w:p>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固定资产利用率≥</w:t>
            </w:r>
            <w:r>
              <w:rPr>
                <w:rFonts w:ascii="宋体" w:hAnsi="宋体" w:cs="宋体"/>
                <w:kern w:val="0"/>
              </w:rPr>
              <w:t>90%</w:t>
            </w:r>
            <w:r>
              <w:rPr>
                <w:rFonts w:hint="eastAsia" w:ascii="宋体" w:hAnsi="宋体" w:cs="宋体"/>
                <w:kern w:val="0"/>
              </w:rPr>
              <w:t>的，得</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2.90%</w:t>
            </w:r>
            <w:r>
              <w:rPr>
                <w:rFonts w:hint="eastAsia" w:ascii="宋体" w:hAnsi="宋体" w:cs="宋体"/>
                <w:kern w:val="0"/>
              </w:rPr>
              <w:t>＞固定资产利用率≥</w:t>
            </w:r>
            <w:r>
              <w:rPr>
                <w:rFonts w:ascii="宋体" w:hAnsi="宋体" w:cs="宋体"/>
                <w:kern w:val="0"/>
              </w:rPr>
              <w:t>75%</w:t>
            </w:r>
            <w:r>
              <w:rPr>
                <w:rFonts w:hint="eastAsia" w:ascii="宋体" w:hAnsi="宋体" w:cs="宋体"/>
                <w:kern w:val="0"/>
              </w:rPr>
              <w:t>的，得</w:t>
            </w:r>
            <w:r>
              <w:rPr>
                <w:rFonts w:ascii="宋体" w:hAnsi="宋体" w:cs="宋体"/>
                <w:kern w:val="0"/>
              </w:rPr>
              <w:t>0.7</w:t>
            </w:r>
            <w:r>
              <w:rPr>
                <w:rFonts w:hint="eastAsia" w:ascii="宋体" w:hAnsi="宋体" w:cs="宋体"/>
                <w:kern w:val="0"/>
              </w:rPr>
              <w:t>分；</w:t>
            </w:r>
            <w:r>
              <w:rPr>
                <w:rFonts w:ascii="宋体"/>
                <w:kern w:val="0"/>
              </w:rPr>
              <w:br w:type="textWrapping"/>
            </w:r>
            <w:r>
              <w:rPr>
                <w:rFonts w:ascii="宋体" w:hAnsi="宋体" w:cs="宋体"/>
                <w:kern w:val="0"/>
              </w:rPr>
              <w:t xml:space="preserve">    3.75%</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ascii="宋体" w:hAnsi="宋体" w:cs="宋体"/>
                <w:kern w:val="0"/>
              </w:rPr>
              <w:t>4</w:t>
            </w:r>
            <w:r>
              <w:rPr>
                <w:rFonts w:hint="eastAsia" w:ascii="宋体" w:hAnsi="宋体" w:cs="宋体"/>
                <w:kern w:val="0"/>
              </w:rPr>
              <w:t>分；</w:t>
            </w:r>
            <w:r>
              <w:rPr>
                <w:rFonts w:ascii="宋体"/>
                <w:kern w:val="0"/>
              </w:rPr>
              <w:br w:type="textWrapping"/>
            </w:r>
            <w:r>
              <w:rPr>
                <w:rFonts w:ascii="宋体" w:hAnsi="宋体" w:cs="宋体"/>
                <w:kern w:val="0"/>
              </w:rPr>
              <w:t xml:space="preserve">    4.</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nil"/>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300"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人员管理</w:t>
            </w: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85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sz w:val="18"/>
                <w:szCs w:val="18"/>
              </w:rPr>
            </w:pPr>
            <w:r>
              <w:rPr>
                <w:rFonts w:hint="eastAsia" w:ascii="宋体" w:hAnsi="宋体" w:cs="宋体"/>
                <w:kern w:val="0"/>
              </w:rPr>
              <w:t>财政供养人员控制率</w:t>
            </w:r>
          </w:p>
        </w:tc>
        <w:tc>
          <w:tcPr>
            <w:tcW w:w="56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sz w:val="18"/>
                <w:szCs w:val="18"/>
              </w:rPr>
            </w:pPr>
            <w:r>
              <w:rPr>
                <w:rFonts w:ascii="宋体" w:hAnsi="宋体" w:cs="宋体"/>
                <w:kern w:val="0"/>
              </w:rPr>
              <w:t>1</w:t>
            </w:r>
          </w:p>
        </w:tc>
        <w:tc>
          <w:tcPr>
            <w:tcW w:w="2536"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sz w:val="18"/>
                <w:szCs w:val="18"/>
              </w:rPr>
            </w:pPr>
            <w:r>
              <w:rPr>
                <w:rFonts w:hint="eastAsia" w:ascii="宋体" w:hAnsi="宋体" w:cs="宋体"/>
                <w:kern w:val="0"/>
              </w:rPr>
              <w:t>部门（单位）本年度在编人数（含工勤人员）与核定编制数（含工勤人员）的比率。</w:t>
            </w:r>
          </w:p>
        </w:tc>
        <w:tc>
          <w:tcPr>
            <w:tcW w:w="5812"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sz w:val="18"/>
                <w:szCs w:val="18"/>
              </w:rPr>
            </w:pPr>
            <w:r>
              <w:rPr>
                <w:rFonts w:hint="eastAsia" w:ascii="宋体" w:hAnsi="宋体" w:cs="宋体"/>
                <w:kern w:val="0"/>
              </w:rPr>
              <w:t>财政供养人员控制率</w:t>
            </w:r>
            <w:r>
              <w:rPr>
                <w:rFonts w:ascii="宋体" w:hAnsi="宋体" w:cs="宋体"/>
                <w:kern w:val="0"/>
              </w:rPr>
              <w:t>=</w:t>
            </w:r>
            <w:r>
              <w:rPr>
                <w:rFonts w:hint="eastAsia" w:ascii="宋体" w:hAnsi="宋体" w:cs="宋体"/>
                <w:kern w:val="0"/>
              </w:rPr>
              <w:t>本年度在编人数（含工勤人员）</w:t>
            </w:r>
            <w:r>
              <w:rPr>
                <w:rFonts w:ascii="宋体" w:hAnsi="宋体" w:cs="宋体"/>
                <w:kern w:val="0"/>
              </w:rPr>
              <w:t>/</w:t>
            </w:r>
            <w:r>
              <w:rPr>
                <w:rFonts w:hint="eastAsia" w:ascii="宋体" w:hAnsi="宋体" w:cs="宋体"/>
                <w:kern w:val="0"/>
              </w:rPr>
              <w:t>核定编制数（含工勤人员）</w:t>
            </w:r>
          </w:p>
          <w:p>
            <w:pPr>
              <w:widowControl/>
              <w:spacing w:line="300" w:lineRule="exact"/>
              <w:rPr>
                <w:rFonts w:ascii="宋体"/>
                <w:kern w:val="0"/>
                <w:sz w:val="18"/>
                <w:szCs w:val="18"/>
              </w:rPr>
            </w:pPr>
            <w:r>
              <w:rPr>
                <w:rFonts w:ascii="宋体" w:hAnsi="宋体" w:cs="宋体"/>
                <w:kern w:val="0"/>
              </w:rPr>
              <w:t xml:space="preserve">   1.</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rPr>
                <w:rFonts w:ascii="宋体"/>
                <w:kern w:val="0"/>
                <w:sz w:val="18"/>
                <w:szCs w:val="18"/>
              </w:rPr>
            </w:pPr>
            <w:r>
              <w:rPr>
                <w:rFonts w:ascii="宋体" w:cs="宋体"/>
                <w:kern w:val="0"/>
              </w:rPr>
              <w:t xml:space="preserve">   2.</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single" w:color="auto" w:sz="4" w:space="0"/>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26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编外人员控制率</w:t>
            </w:r>
          </w:p>
        </w:tc>
        <w:tc>
          <w:tcPr>
            <w:tcW w:w="56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2536"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部门（单位）本年度使用劳务派遣人员数量（含直接聘用的编外人员）与在职人员总数（在编</w:t>
            </w:r>
            <w:r>
              <w:rPr>
                <w:rFonts w:ascii="宋体" w:hAnsi="宋体" w:cs="宋体"/>
                <w:kern w:val="0"/>
              </w:rPr>
              <w:t>+</w:t>
            </w:r>
            <w:r>
              <w:rPr>
                <w:rFonts w:hint="eastAsia" w:ascii="宋体" w:hAnsi="宋体" w:cs="宋体"/>
                <w:kern w:val="0"/>
              </w:rPr>
              <w:t>编外）的比率。</w:t>
            </w:r>
          </w:p>
        </w:tc>
        <w:tc>
          <w:tcPr>
            <w:tcW w:w="5812"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比率＜</w:t>
            </w:r>
            <w:r>
              <w:rPr>
                <w:rFonts w:ascii="宋体" w:hAnsi="宋体" w:cs="宋体"/>
                <w:kern w:val="0"/>
              </w:rPr>
              <w:t>5%</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ind w:firstLine="420" w:firstLineChars="200"/>
              <w:rPr>
                <w:rFonts w:ascii="宋体"/>
                <w:kern w:val="0"/>
              </w:rPr>
            </w:pPr>
            <w:r>
              <w:rPr>
                <w:rFonts w:ascii="宋体" w:hAnsi="宋体" w:cs="宋体"/>
                <w:kern w:val="0"/>
              </w:rPr>
              <w:t>2.5%</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hAnsi="宋体" w:cs="宋体"/>
                <w:kern w:val="0"/>
              </w:rPr>
              <w:t>0.5</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ascii="宋体" w:cs="宋体"/>
                <w:kern w:val="0"/>
              </w:rPr>
              <w:t>.</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0.5</w:t>
            </w:r>
          </w:p>
        </w:tc>
        <w:tc>
          <w:tcPr>
            <w:tcW w:w="2297" w:type="dxa"/>
            <w:tcBorders>
              <w:top w:val="single" w:color="auto" w:sz="4" w:space="0"/>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52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制度管理</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管理制度健全性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部门（单位）制定了相应的预算资金、财务管理和预算绩效管理等制度并严格执行，用以反映部门（单位）的管理制度对其完成主要职责和促进事业发展的保障情况。</w:t>
            </w:r>
          </w:p>
        </w:tc>
        <w:tc>
          <w:tcPr>
            <w:tcW w:w="5812" w:type="dxa"/>
            <w:tcBorders>
              <w:top w:val="nil"/>
              <w:left w:val="nil"/>
              <w:bottom w:val="single" w:color="auto" w:sz="4" w:space="0"/>
              <w:right w:val="single" w:color="auto" w:sz="4" w:space="0"/>
            </w:tcBorders>
          </w:tcPr>
          <w:p>
            <w:pPr>
              <w:widowControl/>
              <w:spacing w:line="300" w:lineRule="exact"/>
              <w:jc w:val="left"/>
              <w:rPr>
                <w:rFonts w:ascii="宋体"/>
                <w:kern w:val="0"/>
              </w:rPr>
            </w:pPr>
            <w:r>
              <w:rPr>
                <w:rFonts w:ascii="宋体" w:hAnsi="宋体" w:cs="宋体"/>
                <w:kern w:val="0"/>
              </w:rPr>
              <w:t xml:space="preserve">    1.</w:t>
            </w:r>
            <w:r>
              <w:rPr>
                <w:rFonts w:hint="eastAsia" w:ascii="宋体" w:hAnsi="宋体" w:cs="宋体"/>
                <w:kern w:val="0"/>
              </w:rPr>
              <w:t>部门制定了财政资金管理、财务管理、内部控制等制度（</w:t>
            </w:r>
            <w:r>
              <w:rPr>
                <w:rFonts w:ascii="宋体" w:hAnsi="宋体" w:cs="宋体"/>
                <w:kern w:val="0"/>
              </w:rPr>
              <w:t>0.5</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上述财政资金管理、财务管理、内部控制等制度得到有效执行（</w:t>
            </w:r>
            <w:r>
              <w:rPr>
                <w:rFonts w:ascii="宋体" w:hAnsi="宋体" w:cs="宋体"/>
                <w:kern w:val="0"/>
              </w:rPr>
              <w:t>1.5</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hint="eastAsia" w:ascii="宋体" w:hAnsi="宋体" w:cs="宋体"/>
                <w:kern w:val="0"/>
              </w:rPr>
              <w:t>部门按照预算和绩效管理一体化的要求制定本部门全面实施预算绩效管理的制度或工作方案，组织指导本级及下属单位开展事前评估、绩效目标编报、绩效监控、绩效评价和评价结果应用等工作（</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00" w:lineRule="exact"/>
              <w:jc w:val="left"/>
              <w:rPr>
                <w:rFonts w:ascii="宋体" w:hAnsi="宋体" w:cs="宋体"/>
                <w:kern w:val="0"/>
              </w:rPr>
            </w:pPr>
          </w:p>
        </w:tc>
      </w:tr>
      <w:tr>
        <w:tblPrEx>
          <w:tblCellMar>
            <w:top w:w="0" w:type="dxa"/>
            <w:left w:w="108" w:type="dxa"/>
            <w:bottom w:w="0" w:type="dxa"/>
            <w:right w:w="108" w:type="dxa"/>
          </w:tblCellMar>
        </w:tblPrEx>
        <w:trPr>
          <w:trHeight w:val="360"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部门绩效</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55</w:t>
            </w: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经济性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公用经费控制率</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部门（单位）本年度实际支出的公用经费总额与预算安排的公用经费总额的比率，用以反映和考核部门（单位）对机构运转成本的实际控制程度。</w:t>
            </w:r>
          </w:p>
        </w:tc>
        <w:tc>
          <w:tcPr>
            <w:tcW w:w="5812"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“三公”经费控制率</w:t>
            </w:r>
            <w:r>
              <w:rPr>
                <w:rFonts w:ascii="宋体" w:hAnsi="宋体" w:cs="宋体"/>
                <w:kern w:val="0"/>
              </w:rPr>
              <w:t>=</w:t>
            </w:r>
            <w:r>
              <w:rPr>
                <w:rFonts w:hint="eastAsia" w:ascii="宋体" w:hAnsi="宋体" w:cs="宋体"/>
                <w:kern w:val="0"/>
              </w:rPr>
              <w:t>“三公”经费实际支出数</w:t>
            </w:r>
            <w:r>
              <w:rPr>
                <w:rFonts w:ascii="宋体" w:hAnsi="宋体" w:cs="宋体"/>
                <w:kern w:val="0"/>
              </w:rPr>
              <w:t>/</w:t>
            </w:r>
            <w:r>
              <w:rPr>
                <w:rFonts w:hint="eastAsia" w:ascii="宋体" w:hAnsi="宋体" w:cs="宋体"/>
                <w:kern w:val="0"/>
              </w:rPr>
              <w:t>“三公”经费预算安排数×</w:t>
            </w:r>
            <w:r>
              <w:rPr>
                <w:rFonts w:ascii="宋体" w:hAnsi="宋体" w:cs="宋体"/>
                <w:kern w:val="0"/>
              </w:rPr>
              <w:t>100%</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1</w:t>
            </w:r>
            <w:r>
              <w:rPr>
                <w:rFonts w:hint="eastAsia" w:ascii="宋体" w:cs="宋体"/>
                <w:kern w:val="0"/>
              </w:rPr>
              <w:t>）</w:t>
            </w:r>
            <w:r>
              <w:rPr>
                <w:rFonts w:hint="eastAsia" w:ascii="宋体" w:hAnsi="宋体" w:cs="宋体"/>
                <w:kern w:val="0"/>
              </w:rPr>
              <w:t>“三公”经费控制率＜</w:t>
            </w:r>
            <w:r>
              <w:rPr>
                <w:rFonts w:ascii="宋体" w:hAnsi="宋体" w:cs="宋体"/>
                <w:kern w:val="0"/>
              </w:rPr>
              <w:t>90%</w:t>
            </w:r>
            <w:r>
              <w:rPr>
                <w:rFonts w:hint="eastAsia" w:ascii="宋体" w:hAnsi="宋体" w:cs="宋体"/>
                <w:kern w:val="0"/>
              </w:rPr>
              <w:t>的，得</w:t>
            </w:r>
            <w:r>
              <w:rPr>
                <w:rFonts w:ascii="宋体" w:hAnsi="宋体" w:cs="宋体"/>
                <w:kern w:val="0"/>
              </w:rPr>
              <w:t>3</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hAnsi="宋体" w:cs="宋体"/>
                <w:kern w:val="0"/>
              </w:rPr>
              <w:t>（</w:t>
            </w:r>
            <w:r>
              <w:rPr>
                <w:rFonts w:ascii="宋体" w:hAnsi="宋体" w:cs="宋体"/>
                <w:kern w:val="0"/>
              </w:rPr>
              <w:t>2</w:t>
            </w:r>
            <w:r>
              <w:rPr>
                <w:rFonts w:hint="eastAsia" w:ascii="宋体" w:hAnsi="宋体" w:cs="宋体"/>
                <w:kern w:val="0"/>
              </w:rPr>
              <w:t>）</w:t>
            </w:r>
            <w:r>
              <w:rPr>
                <w:rFonts w:ascii="宋体" w:hAnsi="宋体" w:cs="宋体"/>
                <w:kern w:val="0"/>
              </w:rPr>
              <w:t>90%</w:t>
            </w:r>
            <w:r>
              <w:rPr>
                <w:rFonts w:hint="eastAsia" w:ascii="宋体" w:hAnsi="宋体" w:cs="宋体"/>
                <w:kern w:val="0"/>
              </w:rPr>
              <w:t>≤“三公”经费控制率≤</w:t>
            </w:r>
            <w:r>
              <w:rPr>
                <w:rFonts w:ascii="宋体" w:hAnsi="宋体" w:cs="宋体"/>
                <w:kern w:val="0"/>
              </w:rPr>
              <w:t>100%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315" w:firstLineChars="150"/>
              <w:rPr>
                <w:rFonts w:ascii="宋体" w:hAnsi="宋体" w:cs="宋体"/>
                <w:kern w:val="0"/>
              </w:rPr>
            </w:pPr>
            <w:r>
              <w:rPr>
                <w:rFonts w:hint="eastAsia" w:ascii="宋体" w:cs="宋体"/>
                <w:kern w:val="0"/>
              </w:rPr>
              <w:t>（</w:t>
            </w:r>
            <w:r>
              <w:rPr>
                <w:rFonts w:ascii="宋体" w:cs="宋体"/>
                <w:kern w:val="0"/>
              </w:rPr>
              <w:t>3</w:t>
            </w:r>
            <w:r>
              <w:rPr>
                <w:rFonts w:hint="eastAsia" w:ascii="宋体" w:cs="宋体"/>
                <w:kern w:val="0"/>
              </w:rPr>
              <w:t>）</w:t>
            </w:r>
            <w:r>
              <w:rPr>
                <w:rFonts w:hint="eastAsia" w:ascii="宋体" w:hAnsi="宋体" w:cs="宋体"/>
                <w:kern w:val="0"/>
              </w:rPr>
              <w:t>“三公”经费控制率＞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r>
              <w:rPr>
                <w:rFonts w:ascii="宋体"/>
                <w:kern w:val="0"/>
              </w:rPr>
              <w:br w:type="textWrapping"/>
            </w:r>
            <w:r>
              <w:rPr>
                <w:rFonts w:ascii="宋体" w:hAnsi="宋体" w:cs="宋体"/>
                <w:kern w:val="0"/>
              </w:rPr>
              <w:t xml:space="preserve">    2. </w:t>
            </w:r>
            <w:r>
              <w:rPr>
                <w:rFonts w:hint="eastAsia" w:ascii="宋体" w:hAnsi="宋体" w:cs="宋体"/>
                <w:kern w:val="0"/>
              </w:rPr>
              <w:t>日常公用经费控制率</w:t>
            </w:r>
            <w:r>
              <w:rPr>
                <w:rFonts w:ascii="宋体" w:hAnsi="宋体" w:cs="宋体"/>
                <w:kern w:val="0"/>
              </w:rPr>
              <w:t>=</w:t>
            </w:r>
            <w:r>
              <w:rPr>
                <w:rFonts w:hint="eastAsia" w:ascii="宋体" w:hAnsi="宋体" w:cs="宋体"/>
                <w:kern w:val="0"/>
              </w:rPr>
              <w:t>日常公用经费决算数</w:t>
            </w:r>
            <w:r>
              <w:rPr>
                <w:rFonts w:ascii="宋体" w:hAnsi="宋体" w:cs="宋体"/>
                <w:kern w:val="0"/>
              </w:rPr>
              <w:t>/</w:t>
            </w:r>
            <w:r>
              <w:rPr>
                <w:rFonts w:hint="eastAsia" w:ascii="宋体" w:hAnsi="宋体" w:cs="宋体"/>
                <w:kern w:val="0"/>
              </w:rPr>
              <w:t>日常公用经费调整预算数×</w:t>
            </w:r>
            <w:r>
              <w:rPr>
                <w:rFonts w:ascii="宋体" w:hAnsi="宋体" w:cs="宋体"/>
                <w:kern w:val="0"/>
              </w:rPr>
              <w:t>100%</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1</w:t>
            </w:r>
            <w:r>
              <w:rPr>
                <w:rFonts w:hint="eastAsia" w:ascii="宋体" w:cs="宋体"/>
                <w:kern w:val="0"/>
              </w:rPr>
              <w:t>）</w:t>
            </w:r>
            <w:r>
              <w:rPr>
                <w:rFonts w:hint="eastAsia" w:ascii="宋体" w:hAnsi="宋体" w:cs="宋体"/>
                <w:kern w:val="0"/>
              </w:rPr>
              <w:t>日常公用经费控制率＜</w:t>
            </w:r>
            <w:r>
              <w:rPr>
                <w:rFonts w:ascii="宋体" w:hAnsi="宋体" w:cs="宋体"/>
                <w:kern w:val="0"/>
              </w:rPr>
              <w:t>90%</w:t>
            </w:r>
            <w:r>
              <w:rPr>
                <w:rFonts w:hint="eastAsia" w:ascii="宋体" w:hAnsi="宋体" w:cs="宋体"/>
                <w:kern w:val="0"/>
              </w:rPr>
              <w:t>的，得</w:t>
            </w:r>
            <w:r>
              <w:rPr>
                <w:rFonts w:ascii="宋体" w:hAnsi="宋体" w:cs="宋体"/>
                <w:kern w:val="0"/>
              </w:rPr>
              <w:t>3</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hAnsi="宋体" w:cs="宋体"/>
                <w:kern w:val="0"/>
              </w:rPr>
              <w:t>（</w:t>
            </w:r>
            <w:r>
              <w:rPr>
                <w:rFonts w:ascii="宋体" w:hAnsi="宋体" w:cs="宋体"/>
                <w:kern w:val="0"/>
              </w:rPr>
              <w:t>2</w:t>
            </w:r>
            <w:r>
              <w:rPr>
                <w:rFonts w:hint="eastAsia" w:ascii="宋体" w:hAnsi="宋体" w:cs="宋体"/>
                <w:kern w:val="0"/>
              </w:rPr>
              <w:t>）</w:t>
            </w:r>
            <w:r>
              <w:rPr>
                <w:rFonts w:ascii="宋体" w:hAnsi="宋体" w:cs="宋体"/>
                <w:kern w:val="0"/>
              </w:rPr>
              <w:t>90%</w:t>
            </w:r>
            <w:r>
              <w:rPr>
                <w:rFonts w:hint="eastAsia" w:ascii="宋体" w:hAnsi="宋体" w:cs="宋体"/>
                <w:kern w:val="0"/>
              </w:rPr>
              <w:t>≤日常公用经费控制率≤</w:t>
            </w:r>
            <w:r>
              <w:rPr>
                <w:rFonts w:ascii="宋体" w:hAnsi="宋体" w:cs="宋体"/>
                <w:kern w:val="0"/>
              </w:rPr>
              <w:t>100%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3</w:t>
            </w:r>
            <w:r>
              <w:rPr>
                <w:rFonts w:hint="eastAsia" w:ascii="宋体" w:cs="宋体"/>
                <w:kern w:val="0"/>
              </w:rPr>
              <w:t>）</w:t>
            </w:r>
            <w:r>
              <w:rPr>
                <w:rFonts w:hint="eastAsia" w:ascii="宋体" w:hAnsi="宋体" w:cs="宋体"/>
                <w:kern w:val="0"/>
              </w:rPr>
              <w:t>日常公用经费控制率＞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ind w:firstLine="420"/>
              <w:rPr>
                <w:rFonts w:ascii="宋体" w:hAnsi="宋体" w:cs="宋体"/>
                <w:kern w:val="0"/>
              </w:rPr>
            </w:pPr>
            <w:r>
              <w:rPr>
                <w:rFonts w:hint="eastAsia" w:ascii="宋体" w:hAnsi="宋体" w:cs="宋体"/>
                <w:kern w:val="0"/>
              </w:rPr>
              <w:t>我校</w:t>
            </w:r>
            <w:r>
              <w:rPr>
                <w:rFonts w:ascii="宋体" w:hAnsi="宋体" w:cs="宋体"/>
                <w:kern w:val="0"/>
              </w:rPr>
              <w:t>2020</w:t>
            </w:r>
            <w:r>
              <w:rPr>
                <w:rFonts w:hint="eastAsia" w:ascii="宋体" w:hAnsi="宋体" w:cs="宋体"/>
                <w:kern w:val="0"/>
              </w:rPr>
              <w:t>年日常公用经费年初预算数为218.88万元,调整预算数为218.93万元，决算数为218.93万元</w:t>
            </w:r>
            <w:bookmarkStart w:id="1" w:name="_GoBack"/>
            <w:bookmarkEnd w:id="1"/>
          </w:p>
        </w:tc>
      </w:tr>
      <w:tr>
        <w:tblPrEx>
          <w:tblCellMar>
            <w:top w:w="0" w:type="dxa"/>
            <w:left w:w="108" w:type="dxa"/>
            <w:bottom w:w="0" w:type="dxa"/>
            <w:right w:w="108" w:type="dxa"/>
          </w:tblCellMar>
        </w:tblPrEx>
        <w:trPr>
          <w:trHeight w:val="276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宋体"/>
                <w:kern w:val="0"/>
              </w:rPr>
            </w:pPr>
            <w:r>
              <w:rPr>
                <w:rFonts w:hint="eastAsia" w:ascii="宋体" w:hAnsi="宋体" w:cs="宋体"/>
                <w:kern w:val="0"/>
              </w:rPr>
              <w:t>效率性</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kern w:val="0"/>
              </w:rPr>
            </w:pPr>
            <w:r>
              <w:rPr>
                <w:rFonts w:ascii="宋体" w:hAnsi="宋体" w:cs="宋体"/>
                <w:kern w:val="0"/>
              </w:rPr>
              <w:t>20</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预算执行率</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部门（单位）部门预算实际支付进度和既定支付进度的匹配情况，反映和考核部门（单位）预算执行的及时性和均衡性。</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1.</w:t>
            </w:r>
            <w:r>
              <w:rPr>
                <w:rFonts w:hint="eastAsia" w:ascii="宋体" w:hAnsi="宋体" w:cs="宋体"/>
                <w:kern w:val="0"/>
              </w:rPr>
              <w:t>一季度预算执行率得分</w:t>
            </w:r>
            <w:r>
              <w:rPr>
                <w:rFonts w:ascii="宋体" w:hAnsi="宋体" w:cs="宋体"/>
                <w:kern w:val="0"/>
              </w:rPr>
              <w:t>=</w:t>
            </w:r>
            <w:r>
              <w:rPr>
                <w:rFonts w:hint="eastAsia" w:ascii="宋体" w:hAnsi="宋体" w:cs="宋体"/>
                <w:kern w:val="0"/>
              </w:rPr>
              <w:t>（一季度部门预算支出进度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25%</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2.</w:t>
            </w:r>
            <w:r>
              <w:rPr>
                <w:rFonts w:hint="eastAsia" w:ascii="宋体" w:hAnsi="宋体" w:cs="宋体"/>
                <w:kern w:val="0"/>
              </w:rPr>
              <w:t>二季度预算执行率得分</w:t>
            </w:r>
            <w:r>
              <w:rPr>
                <w:rFonts w:ascii="宋体" w:hAnsi="宋体" w:cs="宋体"/>
                <w:kern w:val="0"/>
              </w:rPr>
              <w:t>=</w:t>
            </w:r>
            <w:r>
              <w:rPr>
                <w:rFonts w:hint="eastAsia" w:ascii="宋体" w:hAnsi="宋体" w:cs="宋体"/>
                <w:kern w:val="0"/>
              </w:rPr>
              <w:t>（二季度部门预算支出进度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50%</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3.</w:t>
            </w:r>
            <w:r>
              <w:rPr>
                <w:rFonts w:hint="eastAsia" w:ascii="宋体" w:hAnsi="宋体" w:cs="宋体"/>
                <w:kern w:val="0"/>
              </w:rPr>
              <w:t>三季度预算执行率得分</w:t>
            </w:r>
            <w:r>
              <w:rPr>
                <w:rFonts w:ascii="宋体" w:hAnsi="宋体" w:cs="宋体"/>
                <w:kern w:val="0"/>
              </w:rPr>
              <w:t>=</w:t>
            </w:r>
            <w:r>
              <w:rPr>
                <w:rFonts w:hint="eastAsia" w:ascii="宋体" w:hAnsi="宋体" w:cs="宋体"/>
                <w:kern w:val="0"/>
              </w:rPr>
              <w:t>（三季度部门预算支出进度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75%</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4.</w:t>
            </w:r>
            <w:r>
              <w:rPr>
                <w:rFonts w:hint="eastAsia" w:ascii="宋体" w:hAnsi="宋体" w:cs="宋体"/>
                <w:kern w:val="0"/>
              </w:rPr>
              <w:t>四季度预算执行率得分</w:t>
            </w:r>
            <w:r>
              <w:rPr>
                <w:rFonts w:ascii="宋体" w:hAnsi="宋体" w:cs="宋体"/>
                <w:kern w:val="0"/>
              </w:rPr>
              <w:t>=</w:t>
            </w:r>
            <w:r>
              <w:rPr>
                <w:rFonts w:hint="eastAsia" w:ascii="宋体" w:hAnsi="宋体" w:cs="宋体"/>
                <w:kern w:val="0"/>
              </w:rPr>
              <w:t>（四季度部门预算支出进度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5.</w:t>
            </w:r>
            <w:r>
              <w:rPr>
                <w:rFonts w:hint="eastAsia" w:ascii="宋体" w:hAnsi="宋体" w:cs="宋体"/>
                <w:kern w:val="0"/>
              </w:rPr>
              <w:t>全年平均支出进度得分</w:t>
            </w:r>
            <w:r>
              <w:rPr>
                <w:rFonts w:ascii="宋体" w:hAnsi="宋体" w:cs="宋体"/>
                <w:kern w:val="0"/>
              </w:rPr>
              <w:t>=</w:t>
            </w:r>
            <w:r>
              <w:rPr>
                <w:rFonts w:hint="eastAsia" w:ascii="宋体" w:hAnsi="宋体" w:cs="宋体"/>
                <w:kern w:val="0"/>
              </w:rPr>
              <w:t>全年平均执行率×</w:t>
            </w:r>
            <w:r>
              <w:rPr>
                <w:rFonts w:ascii="宋体" w:hAnsi="宋体" w:cs="宋体"/>
                <w:kern w:val="0"/>
              </w:rPr>
              <w:t>2</w:t>
            </w:r>
            <w:r>
              <w:rPr>
                <w:rFonts w:hint="eastAsia" w:ascii="宋体" w:hAnsi="宋体" w:cs="宋体"/>
                <w:kern w:val="0"/>
              </w:rPr>
              <w:t>分，最高得</w:t>
            </w:r>
            <w:r>
              <w:rPr>
                <w:rFonts w:ascii="宋体" w:hAnsi="宋体" w:cs="宋体"/>
                <w:kern w:val="0"/>
              </w:rPr>
              <w:t>2</w:t>
            </w:r>
            <w:r>
              <w:rPr>
                <w:rFonts w:hint="eastAsia" w:ascii="宋体" w:hAnsi="宋体" w:cs="宋体"/>
                <w:kern w:val="0"/>
              </w:rPr>
              <w:t>分。</w:t>
            </w:r>
          </w:p>
          <w:p>
            <w:pPr>
              <w:widowControl/>
              <w:spacing w:line="320" w:lineRule="exact"/>
              <w:ind w:firstLine="405"/>
              <w:rPr>
                <w:rFonts w:ascii="宋体" w:hAnsi="宋体" w:cs="宋体"/>
                <w:kern w:val="0"/>
              </w:rPr>
            </w:pPr>
            <w:r>
              <w:rPr>
                <w:rFonts w:hint="eastAsia" w:ascii="宋体" w:hAnsi="宋体" w:cs="宋体"/>
                <w:kern w:val="0"/>
              </w:rPr>
              <w:t>其中：全年平均执行率</w:t>
            </w:r>
            <w:r>
              <w:rPr>
                <w:rFonts w:ascii="宋体" w:hAnsi="宋体" w:cs="宋体"/>
                <w:kern w:val="0"/>
              </w:rPr>
              <w:t>=</w:t>
            </w:r>
            <w:r>
              <w:rPr>
                <w:rFonts w:hint="eastAsia" w:ascii="宋体" w:hAnsi="宋体" w:cs="宋体"/>
                <w:kern w:val="0"/>
              </w:rPr>
              <w:t>∑（每个季度的执行率）÷</w:t>
            </w:r>
            <w:r>
              <w:rPr>
                <w:rFonts w:ascii="宋体" w:hAnsi="宋体" w:cs="宋体"/>
                <w:kern w:val="0"/>
              </w:rPr>
              <w:t>4</w:t>
            </w:r>
          </w:p>
          <w:p>
            <w:pPr>
              <w:widowControl/>
              <w:spacing w:line="320" w:lineRule="exact"/>
              <w:rPr>
                <w:rFonts w:ascii="宋体"/>
                <w:kern w:val="0"/>
              </w:rPr>
            </w:pPr>
            <w:r>
              <w:rPr>
                <w:rFonts w:hint="eastAsia" w:ascii="宋体" w:hAnsi="宋体" w:cs="宋体"/>
                <w:kern w:val="0"/>
              </w:rPr>
              <w:t>季度支出进度</w:t>
            </w:r>
            <w:r>
              <w:rPr>
                <w:rFonts w:ascii="宋体" w:hAnsi="宋体" w:cs="宋体"/>
                <w:kern w:val="0"/>
              </w:rPr>
              <w:t>=</w:t>
            </w:r>
            <w:r>
              <w:rPr>
                <w:rFonts w:hint="eastAsia" w:ascii="宋体" w:hAnsi="宋体" w:cs="宋体"/>
                <w:kern w:val="0"/>
              </w:rPr>
              <w:t>季度末月份累计支出进度（即</w:t>
            </w:r>
            <w:r>
              <w:rPr>
                <w:rFonts w:ascii="宋体" w:hAnsi="宋体" w:cs="宋体"/>
                <w:kern w:val="0"/>
              </w:rPr>
              <w:t>3</w:t>
            </w:r>
            <w:r>
              <w:rPr>
                <w:rFonts w:hint="eastAsia" w:ascii="宋体" w:hAnsi="宋体" w:cs="宋体"/>
                <w:kern w:val="0"/>
              </w:rPr>
              <w:t>、</w:t>
            </w:r>
            <w:r>
              <w:rPr>
                <w:rFonts w:ascii="宋体" w:hAnsi="宋体" w:cs="宋体"/>
                <w:kern w:val="0"/>
              </w:rPr>
              <w:t>6</w:t>
            </w:r>
            <w:r>
              <w:rPr>
                <w:rFonts w:hint="eastAsia" w:ascii="宋体" w:hAnsi="宋体" w:cs="宋体"/>
                <w:kern w:val="0"/>
              </w:rPr>
              <w:t>、</w:t>
            </w:r>
            <w:r>
              <w:rPr>
                <w:rFonts w:ascii="宋体" w:hAnsi="宋体" w:cs="宋体"/>
                <w:kern w:val="0"/>
              </w:rPr>
              <w:t>9</w:t>
            </w:r>
            <w:r>
              <w:rPr>
                <w:rFonts w:hint="eastAsia" w:ascii="宋体" w:hAnsi="宋体" w:cs="宋体"/>
                <w:kern w:val="0"/>
              </w:rPr>
              <w:t>、</w:t>
            </w:r>
            <w:r>
              <w:rPr>
                <w:rFonts w:ascii="宋体" w:hAnsi="宋体" w:cs="宋体"/>
                <w:kern w:val="0"/>
              </w:rPr>
              <w:t>12</w:t>
            </w:r>
            <w:r>
              <w:rPr>
                <w:rFonts w:hint="eastAsia" w:ascii="宋体" w:hAnsi="宋体" w:cs="宋体"/>
                <w:kern w:val="0"/>
              </w:rPr>
              <w:t>月月末支出进度）</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5.26</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r>
              <w:rPr>
                <w:rFonts w:hint="eastAsia" w:ascii="宋体" w:hAnsi="宋体" w:cs="宋体"/>
                <w:kern w:val="0"/>
              </w:rPr>
              <w:t>四个季度执行率分别为</w:t>
            </w:r>
            <w:r>
              <w:rPr>
                <w:rFonts w:hint="eastAsia" w:ascii="宋体" w:hAnsi="宋体" w:cs="宋体"/>
                <w:bCs/>
                <w:kern w:val="0"/>
              </w:rPr>
              <w:t>26.2</w:t>
            </w:r>
            <w:r>
              <w:rPr>
                <w:rFonts w:ascii="宋体" w:hAnsi="宋体" w:cs="宋体"/>
                <w:bCs/>
                <w:kern w:val="0"/>
              </w:rPr>
              <w:t>%</w:t>
            </w:r>
            <w:r>
              <w:rPr>
                <w:rFonts w:hint="eastAsia" w:ascii="宋体" w:hAnsi="宋体" w:cs="宋体"/>
                <w:bCs/>
                <w:kern w:val="0"/>
              </w:rPr>
              <w:t>、51.3</w:t>
            </w:r>
            <w:r>
              <w:rPr>
                <w:rFonts w:ascii="宋体" w:hAnsi="宋体" w:cs="宋体"/>
                <w:bCs/>
                <w:kern w:val="0"/>
              </w:rPr>
              <w:t>%</w:t>
            </w:r>
            <w:r>
              <w:rPr>
                <w:rFonts w:hint="eastAsia" w:ascii="宋体" w:hAnsi="宋体" w:cs="宋体"/>
                <w:bCs/>
                <w:kern w:val="0"/>
              </w:rPr>
              <w:t>、74.7</w:t>
            </w:r>
            <w:r>
              <w:rPr>
                <w:rFonts w:ascii="宋体" w:hAnsi="宋体" w:cs="宋体"/>
                <w:bCs/>
                <w:kern w:val="0"/>
              </w:rPr>
              <w:t>%</w:t>
            </w:r>
            <w:r>
              <w:rPr>
                <w:rFonts w:hint="eastAsia" w:ascii="宋体" w:hAnsi="宋体" w:cs="宋体"/>
                <w:bCs/>
                <w:kern w:val="0"/>
              </w:rPr>
              <w:t>、100</w:t>
            </w:r>
            <w:r>
              <w:rPr>
                <w:rFonts w:ascii="宋体" w:hAnsi="宋体" w:cs="宋体"/>
                <w:bCs/>
                <w:kern w:val="0"/>
              </w:rPr>
              <w:t>%</w:t>
            </w:r>
          </w:p>
        </w:tc>
      </w:tr>
      <w:tr>
        <w:tblPrEx>
          <w:tblCellMar>
            <w:top w:w="0" w:type="dxa"/>
            <w:left w:w="108" w:type="dxa"/>
            <w:bottom w:w="0" w:type="dxa"/>
            <w:right w:w="108" w:type="dxa"/>
          </w:tblCellMar>
        </w:tblPrEx>
        <w:trPr>
          <w:trHeight w:val="140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重点工作完成情况</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color w:val="000000"/>
                <w:kern w:val="0"/>
              </w:rPr>
            </w:pPr>
            <w:r>
              <w:rPr>
                <w:rFonts w:hint="eastAsia" w:ascii="宋体" w:hAnsi="宋体" w:cs="宋体"/>
                <w:color w:val="000000"/>
                <w:kern w:val="0"/>
              </w:rPr>
              <w:t>部门（单位）完成党委、政府和上级部门下达或交办的重要事项或工作的完成情况，反映部门对重点工作的办理落实程度。</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hint="eastAsia" w:ascii="宋体" w:hAnsi="宋体" w:cs="宋体"/>
                <w:kern w:val="0"/>
              </w:rPr>
              <w:t>重点工作是指中央和省、市相关部门、新区党工委、管委会交办或下达的工作任务。全部按期保质保量完成得</w:t>
            </w:r>
            <w:r>
              <w:rPr>
                <w:rFonts w:ascii="宋体" w:hAnsi="宋体" w:cs="宋体"/>
                <w:kern w:val="0"/>
              </w:rPr>
              <w:t>8</w:t>
            </w:r>
            <w:r>
              <w:rPr>
                <w:rFonts w:hint="eastAsia" w:ascii="宋体" w:hAnsi="宋体" w:cs="宋体"/>
                <w:kern w:val="0"/>
              </w:rPr>
              <w:t>分；一项重点工作没有完成扣</w:t>
            </w:r>
            <w:r>
              <w:rPr>
                <w:rFonts w:ascii="宋体" w:hAnsi="宋体" w:cs="宋体"/>
                <w:kern w:val="0"/>
              </w:rPr>
              <w:t>4</w:t>
            </w:r>
            <w:r>
              <w:rPr>
                <w:rFonts w:hint="eastAsia" w:ascii="宋体" w:hAnsi="宋体" w:cs="宋体"/>
                <w:kern w:val="0"/>
              </w:rPr>
              <w:t>分，扣完为止。</w:t>
            </w:r>
          </w:p>
          <w:p>
            <w:pPr>
              <w:widowControl/>
              <w:spacing w:line="320" w:lineRule="exact"/>
              <w:rPr>
                <w:rFonts w:ascii="宋体"/>
                <w:kern w:val="0"/>
              </w:rPr>
            </w:pPr>
            <w:r>
              <w:rPr>
                <w:rFonts w:hint="eastAsia" w:ascii="宋体" w:hAnsi="宋体" w:cs="宋体"/>
                <w:kern w:val="0"/>
              </w:rPr>
              <w:t>注：重点工作完成情况可以参考新区党工委、管委会督查部门或其他权威部门的统计数据（如有）。</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8</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15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sz w:val="18"/>
                <w:szCs w:val="18"/>
              </w:rPr>
            </w:pPr>
            <w:r>
              <w:rPr>
                <w:rFonts w:hint="eastAsia" w:ascii="宋体" w:hAnsi="宋体" w:cs="宋体"/>
                <w:kern w:val="0"/>
              </w:rPr>
              <w:t>项目完成及时性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sz w:val="18"/>
                <w:szCs w:val="18"/>
              </w:rPr>
            </w:pPr>
            <w:r>
              <w:rPr>
                <w:rFonts w:hint="eastAsia" w:ascii="宋体" w:hAnsi="宋体" w:cs="宋体"/>
                <w:kern w:val="0"/>
              </w:rPr>
              <w:t>部门（单位）项目完成情况与预期时间对比的情况。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sz w:val="18"/>
                <w:szCs w:val="18"/>
              </w:rPr>
            </w:pPr>
            <w:r>
              <w:rPr>
                <w:rFonts w:ascii="宋体" w:hAnsi="宋体" w:cs="宋体"/>
                <w:kern w:val="0"/>
              </w:rPr>
              <w:t>1.</w:t>
            </w:r>
            <w:r>
              <w:rPr>
                <w:rFonts w:hint="eastAsia" w:ascii="宋体" w:hAnsi="宋体" w:cs="宋体"/>
                <w:kern w:val="0"/>
              </w:rPr>
              <w:t>所有部门预算安排的项目均按计划时间完成（</w:t>
            </w:r>
            <w:r>
              <w:rPr>
                <w:rFonts w:ascii="宋体" w:hAnsi="宋体" w:cs="宋体"/>
                <w:kern w:val="0"/>
              </w:rPr>
              <w:t>6</w:t>
            </w:r>
            <w:r>
              <w:rPr>
                <w:rFonts w:hint="eastAsia" w:ascii="宋体" w:hAnsi="宋体" w:cs="宋体"/>
                <w:kern w:val="0"/>
              </w:rPr>
              <w:t>分）；</w:t>
            </w:r>
          </w:p>
          <w:p>
            <w:pPr>
              <w:widowControl/>
              <w:spacing w:line="320" w:lineRule="exact"/>
              <w:ind w:firstLine="420" w:firstLineChars="200"/>
              <w:rPr>
                <w:rFonts w:ascii="宋体"/>
                <w:kern w:val="0"/>
                <w:sz w:val="18"/>
                <w:szCs w:val="18"/>
              </w:rPr>
            </w:pPr>
            <w:r>
              <w:rPr>
                <w:rFonts w:ascii="宋体" w:hAnsi="宋体" w:cs="宋体"/>
                <w:kern w:val="0"/>
              </w:rPr>
              <w:t>2.</w:t>
            </w:r>
            <w:r>
              <w:rPr>
                <w:rFonts w:hint="eastAsia" w:ascii="宋体" w:hAnsi="宋体" w:cs="宋体"/>
                <w:kern w:val="0"/>
              </w:rPr>
              <w:t>部分项目未按计划时间完成的，本指标得分</w:t>
            </w:r>
            <w:r>
              <w:rPr>
                <w:rFonts w:ascii="宋体" w:hAnsi="宋体" w:cs="宋体"/>
                <w:kern w:val="0"/>
              </w:rPr>
              <w:t>=</w:t>
            </w:r>
            <w:r>
              <w:rPr>
                <w:rFonts w:hint="eastAsia" w:ascii="宋体" w:hAnsi="宋体" w:cs="宋体"/>
                <w:kern w:val="0"/>
              </w:rPr>
              <w:t>已完成项目数</w:t>
            </w:r>
            <w:r>
              <w:rPr>
                <w:rFonts w:ascii="宋体" w:hAnsi="宋体" w:cs="宋体"/>
                <w:kern w:val="0"/>
              </w:rPr>
              <w:t>/</w:t>
            </w:r>
            <w:r>
              <w:rPr>
                <w:rFonts w:hint="eastAsia" w:ascii="宋体" w:hAnsi="宋体" w:cs="宋体"/>
                <w:kern w:val="0"/>
              </w:rPr>
              <w:t>计划完成项目总数×</w:t>
            </w:r>
            <w:r>
              <w:rPr>
                <w:rFonts w:ascii="宋体" w:hAnsi="宋体" w:cs="宋体"/>
                <w:kern w:val="0"/>
              </w:rPr>
              <w:t>6</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200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效果性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社会、经济、生态效益及可持续影响等</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部门（单位）履行职责、完成各项重大政策和项目的效果，以及对经济发展、社会发展、生态环境所带来的直接或间接影响。</w:t>
            </w:r>
          </w:p>
        </w:tc>
        <w:tc>
          <w:tcPr>
            <w:tcW w:w="5812" w:type="dxa"/>
            <w:tcBorders>
              <w:top w:val="nil"/>
              <w:left w:val="nil"/>
              <w:bottom w:val="single" w:color="auto" w:sz="4" w:space="0"/>
              <w:right w:val="single" w:color="auto" w:sz="4" w:space="0"/>
            </w:tcBorders>
            <w:vAlign w:val="center"/>
          </w:tcPr>
          <w:p>
            <w:pPr>
              <w:widowControl/>
              <w:spacing w:line="320" w:lineRule="exact"/>
              <w:ind w:firstLine="405"/>
              <w:rPr>
                <w:rFonts w:ascii="宋体"/>
                <w:kern w:val="0"/>
              </w:rPr>
            </w:pPr>
            <w:r>
              <w:rPr>
                <w:rFonts w:hint="eastAsia" w:ascii="宋体" w:hAnsi="宋体" w:cs="宋体"/>
                <w:kern w:val="0"/>
              </w:rPr>
              <w:t>根据部门（单位）职责，结合部门整体支出绩效目标，合理设置个性化绩效指标，通过绩效指标完成情况与目标值对比分析进行评分，未实现绩效目标的酌情扣分。</w:t>
            </w:r>
          </w:p>
          <w:p>
            <w:pPr>
              <w:widowControl/>
              <w:spacing w:line="320" w:lineRule="exact"/>
              <w:ind w:firstLine="405"/>
              <w:rPr>
                <w:rFonts w:ascii="宋体" w:hAnsi="宋体" w:cs="宋体"/>
                <w:kern w:val="0"/>
              </w:rPr>
            </w:pPr>
            <w:r>
              <w:rPr>
                <w:rFonts w:hint="eastAsia" w:ascii="宋体" w:hAnsi="宋体" w:cs="宋体"/>
                <w:kern w:val="0"/>
              </w:rPr>
              <w:t>根据部门（部门）履职内容和性质，从社会效益、经济效益、生态效益、可持续影响等方面，至少选择三个方面对工作实效和效益进行评价。</w:t>
            </w:r>
          </w:p>
          <w:p>
            <w:pPr>
              <w:widowControl/>
              <w:spacing w:line="320" w:lineRule="exact"/>
              <w:ind w:firstLine="405"/>
              <w:rPr>
                <w:rFonts w:ascii="宋体" w:hAnsi="宋体" w:cs="宋体"/>
                <w:kern w:val="0"/>
              </w:rPr>
            </w:pPr>
            <w:r>
              <w:rPr>
                <w:rFonts w:hint="eastAsia" w:ascii="宋体" w:hAnsi="宋体" w:cs="宋体"/>
                <w:kern w:val="0"/>
              </w:rPr>
              <w:t>1.加强教育教学管理，全面提高教学质量（4分）；</w:t>
            </w:r>
          </w:p>
          <w:p>
            <w:pPr>
              <w:widowControl/>
              <w:spacing w:line="320" w:lineRule="exact"/>
              <w:ind w:firstLine="405"/>
              <w:rPr>
                <w:rFonts w:ascii="宋体" w:hAnsi="宋体" w:cs="宋体"/>
                <w:kern w:val="0"/>
              </w:rPr>
            </w:pPr>
            <w:r>
              <w:rPr>
                <w:rFonts w:hint="eastAsia" w:ascii="宋体" w:hAnsi="宋体" w:cs="宋体"/>
                <w:kern w:val="0"/>
              </w:rPr>
              <w:t>2.坚持校务公开制度，加强学校民主建设（3分）；</w:t>
            </w:r>
          </w:p>
          <w:p>
            <w:pPr>
              <w:widowControl/>
              <w:spacing w:line="320" w:lineRule="exact"/>
              <w:ind w:firstLine="405"/>
              <w:rPr>
                <w:rFonts w:ascii="宋体" w:hAnsi="宋体" w:cs="宋体"/>
                <w:kern w:val="0"/>
              </w:rPr>
            </w:pPr>
            <w:r>
              <w:rPr>
                <w:rFonts w:hint="eastAsia" w:ascii="宋体" w:hAnsi="宋体" w:cs="宋体"/>
                <w:kern w:val="0"/>
              </w:rPr>
              <w:t>3.做实做细安全工作，优化校园安全环境（3分）；</w:t>
            </w:r>
          </w:p>
          <w:p>
            <w:pPr>
              <w:widowControl/>
              <w:spacing w:line="320" w:lineRule="exact"/>
              <w:ind w:firstLine="405"/>
              <w:rPr>
                <w:rFonts w:ascii="宋体" w:hAnsi="宋体" w:cs="宋体"/>
                <w:kern w:val="0"/>
              </w:rPr>
            </w:pPr>
            <w:r>
              <w:rPr>
                <w:rFonts w:hint="eastAsia" w:ascii="宋体" w:hAnsi="宋体" w:cs="宋体"/>
                <w:kern w:val="0"/>
              </w:rPr>
              <w:t>4.加强师德师风建设和德育思想工作，全面提升教师形象，以及促进学生健康成长（4分）；</w:t>
            </w:r>
          </w:p>
          <w:p>
            <w:pPr>
              <w:widowControl/>
              <w:spacing w:line="320" w:lineRule="exact"/>
              <w:ind w:firstLine="405"/>
              <w:rPr>
                <w:rFonts w:ascii="宋体" w:hAnsi="宋体" w:cs="宋体"/>
                <w:kern w:val="0"/>
              </w:rPr>
            </w:pPr>
            <w:r>
              <w:rPr>
                <w:rFonts w:hint="eastAsia" w:ascii="宋体" w:hAnsi="宋体" w:cs="宋体"/>
                <w:kern w:val="0"/>
              </w:rPr>
              <w:t>5.着力加强信息化建设工作，全力推进智慧校园建设（3分）；</w:t>
            </w:r>
          </w:p>
          <w:p>
            <w:pPr>
              <w:widowControl/>
              <w:spacing w:line="320" w:lineRule="exact"/>
              <w:ind w:firstLine="405"/>
              <w:rPr>
                <w:rFonts w:ascii="楷体" w:hAnsi="楷体" w:cs="Lucida Sans Unicode"/>
                <w:b/>
                <w:sz w:val="32"/>
                <w:szCs w:val="32"/>
              </w:rPr>
            </w:pPr>
            <w:r>
              <w:rPr>
                <w:rFonts w:hint="eastAsia" w:ascii="宋体" w:hAnsi="宋体" w:cs="宋体"/>
                <w:kern w:val="0"/>
              </w:rPr>
              <w:t>6.强化宣传管理工作，不断提升学校影响力和学校教育品牌（3分）。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18</w:t>
            </w:r>
          </w:p>
        </w:tc>
        <w:tc>
          <w:tcPr>
            <w:tcW w:w="2297" w:type="dxa"/>
            <w:tcBorders>
              <w:top w:val="nil"/>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21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公平性</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9</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群众信访办理情况</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部门（单位）对群众信访意见的完成情况及及时性，反映部门（单位）对服务群众的重视程度。</w:t>
            </w:r>
          </w:p>
        </w:tc>
        <w:tc>
          <w:tcPr>
            <w:tcW w:w="5812" w:type="dxa"/>
            <w:tcBorders>
              <w:top w:val="nil"/>
              <w:left w:val="nil"/>
              <w:bottom w:val="single" w:color="auto" w:sz="4" w:space="0"/>
              <w:right w:val="single" w:color="auto" w:sz="4" w:space="0"/>
            </w:tcBorders>
            <w:vAlign w:val="center"/>
          </w:tcPr>
          <w:p>
            <w:pPr>
              <w:widowControl/>
              <w:spacing w:line="320" w:lineRule="exact"/>
              <w:ind w:firstLine="315" w:firstLineChars="150"/>
              <w:rPr>
                <w:rFonts w:ascii="宋体"/>
                <w:kern w:val="0"/>
              </w:rPr>
            </w:pPr>
            <w:r>
              <w:rPr>
                <w:rFonts w:ascii="宋体" w:hAnsi="宋体" w:cs="宋体"/>
                <w:kern w:val="0"/>
              </w:rPr>
              <w:t>1.</w:t>
            </w:r>
            <w:r>
              <w:rPr>
                <w:rFonts w:hint="eastAsia" w:ascii="宋体" w:hAnsi="宋体" w:cs="宋体"/>
                <w:kern w:val="0"/>
              </w:rPr>
              <w:t>建立了便利的群众意见反映渠道和群众意见办理回复机制（</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当年度群众信访办理回复率达</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3.</w:t>
            </w:r>
            <w:r>
              <w:rPr>
                <w:rFonts w:hint="eastAsia" w:ascii="宋体" w:hAnsi="宋体" w:cs="宋体"/>
                <w:kern w:val="0"/>
              </w:rPr>
              <w:t>当年度群众信访及时办理回复率达</w:t>
            </w:r>
            <w:r>
              <w:rPr>
                <w:rFonts w:ascii="宋体" w:hAnsi="宋体" w:cs="宋体"/>
                <w:kern w:val="0"/>
              </w:rPr>
              <w:t>100%</w:t>
            </w:r>
            <w:r>
              <w:rPr>
                <w:rFonts w:hint="eastAsia" w:ascii="宋体" w:hAnsi="宋体" w:cs="宋体"/>
                <w:kern w:val="0"/>
              </w:rPr>
              <w:t>，未发生超期（</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20" w:lineRule="exact"/>
              <w:ind w:firstLine="315" w:firstLineChars="150"/>
              <w:rPr>
                <w:rFonts w:ascii="宋体" w:hAnsi="宋体" w:cs="宋体"/>
                <w:kern w:val="0"/>
              </w:rPr>
            </w:pPr>
          </w:p>
        </w:tc>
      </w:tr>
      <w:tr>
        <w:tblPrEx>
          <w:tblCellMar>
            <w:top w:w="0" w:type="dxa"/>
            <w:left w:w="108" w:type="dxa"/>
            <w:bottom w:w="0" w:type="dxa"/>
            <w:right w:w="108" w:type="dxa"/>
          </w:tblCellMar>
        </w:tblPrEx>
        <w:trPr>
          <w:trHeight w:val="1401" w:hRule="atLeast"/>
        </w:trPr>
        <w:tc>
          <w:tcPr>
            <w:tcW w:w="57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851" w:type="dxa"/>
            <w:tcBorders>
              <w:top w:val="nil"/>
              <w:left w:val="nil"/>
              <w:bottom w:val="nil"/>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公众或服务对象满意度</w:t>
            </w:r>
          </w:p>
        </w:tc>
        <w:tc>
          <w:tcPr>
            <w:tcW w:w="567" w:type="dxa"/>
            <w:tcBorders>
              <w:top w:val="nil"/>
              <w:left w:val="nil"/>
              <w:bottom w:val="nil"/>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nil"/>
              <w:right w:val="single" w:color="auto" w:sz="4" w:space="0"/>
            </w:tcBorders>
            <w:vAlign w:val="center"/>
          </w:tcPr>
          <w:p>
            <w:pPr>
              <w:widowControl/>
              <w:spacing w:line="320" w:lineRule="exact"/>
              <w:rPr>
                <w:rFonts w:ascii="宋体"/>
                <w:kern w:val="0"/>
              </w:rPr>
            </w:pPr>
            <w:r>
              <w:rPr>
                <w:rFonts w:hint="eastAsia" w:ascii="宋体" w:hAnsi="宋体" w:cs="宋体"/>
                <w:kern w:val="0"/>
              </w:rPr>
              <w:t>反映社会公众或部门（单位）的服务对象对部门履职效果的满意度。</w:t>
            </w:r>
          </w:p>
        </w:tc>
        <w:tc>
          <w:tcPr>
            <w:tcW w:w="5812" w:type="dxa"/>
            <w:tcBorders>
              <w:top w:val="nil"/>
              <w:left w:val="nil"/>
              <w:bottom w:val="nil"/>
              <w:right w:val="single" w:color="auto" w:sz="4" w:space="0"/>
            </w:tcBorders>
            <w:vAlign w:val="center"/>
          </w:tcPr>
          <w:p>
            <w:pPr>
              <w:widowControl/>
              <w:spacing w:line="320" w:lineRule="exact"/>
              <w:ind w:firstLine="420"/>
              <w:rPr>
                <w:rFonts w:ascii="宋体"/>
                <w:kern w:val="0"/>
              </w:rPr>
            </w:pPr>
            <w:r>
              <w:rPr>
                <w:rFonts w:hint="eastAsia" w:ascii="宋体" w:hAnsi="宋体" w:cs="宋体"/>
                <w:kern w:val="0"/>
              </w:rPr>
              <w:t>社会公众或服务对象是指部门（单位）履行职责而影响到的部门、群体或个人，一般采取社会调查的方式。如难以单独开展满意度调查的，可参考区统计部门的数据、年度区直民主评议政风行风评价结果等数据，或者参考群众信访反馈的普遍性问题、本部门或权威第三方机构的开展满意度调查等进行分档计分。</w:t>
            </w:r>
          </w:p>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6</w:t>
            </w:r>
            <w:r>
              <w:rPr>
                <w:rFonts w:hint="eastAsia" w:ascii="宋体" w:hAnsi="宋体" w:cs="宋体"/>
                <w:kern w:val="0"/>
              </w:rPr>
              <w:t>分；</w:t>
            </w:r>
          </w:p>
          <w:p>
            <w:pPr>
              <w:widowControl/>
              <w:spacing w:line="320" w:lineRule="exact"/>
              <w:ind w:firstLine="420"/>
              <w:rPr>
                <w:rFonts w:ascii="宋体"/>
                <w:kern w:val="0"/>
              </w:rPr>
            </w:pPr>
            <w:r>
              <w:rPr>
                <w:rFonts w:ascii="宋体" w:cs="宋体"/>
                <w:kern w:val="0"/>
              </w:rPr>
              <w:t>2.</w:t>
            </w:r>
            <w:r>
              <w:rPr>
                <w:rFonts w:ascii="宋体" w:hAnsi="宋体" w:cs="宋体"/>
                <w:kern w:val="0"/>
              </w:rPr>
              <w:t xml:space="preserve"> 90%</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4</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3. 80%</w:t>
            </w:r>
            <w:r>
              <w:rPr>
                <w:rFonts w:hint="eastAsia" w:ascii="宋体" w:hAnsi="宋体" w:cs="宋体"/>
                <w:kern w:val="0"/>
              </w:rPr>
              <w:t>≤满意度＜</w:t>
            </w:r>
            <w:r>
              <w:rPr>
                <w:rFonts w:ascii="宋体" w:hAnsi="宋体" w:cs="宋体"/>
                <w:kern w:val="0"/>
              </w:rPr>
              <w:t>90%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 xml:space="preserve">4. </w:t>
            </w:r>
            <w:r>
              <w:rPr>
                <w:rFonts w:hint="eastAsia" w:ascii="宋体" w:hAnsi="宋体" w:cs="宋体"/>
                <w:kern w:val="0"/>
              </w:rPr>
              <w:t>满意度＜</w:t>
            </w:r>
            <w:r>
              <w:rPr>
                <w:rFonts w:ascii="宋体" w:hAnsi="宋体" w:cs="宋体"/>
                <w:kern w:val="0"/>
              </w:rPr>
              <w:t>80%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tc>
        <w:tc>
          <w:tcPr>
            <w:tcW w:w="822" w:type="dxa"/>
            <w:tcBorders>
              <w:top w:val="nil"/>
              <w:left w:val="nil"/>
              <w:bottom w:val="nil"/>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nil"/>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405" w:hRule="atLeast"/>
        </w:trPr>
        <w:tc>
          <w:tcPr>
            <w:tcW w:w="12044" w:type="dxa"/>
            <w:gridSpan w:val="8"/>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420"/>
              <w:jc w:val="center"/>
              <w:rPr>
                <w:rFonts w:ascii="宋体" w:hAnsi="宋体" w:cs="宋体"/>
                <w:b/>
                <w:bCs/>
                <w:kern w:val="0"/>
              </w:rPr>
            </w:pPr>
            <w:r>
              <w:rPr>
                <w:rFonts w:hint="eastAsia" w:ascii="宋体" w:hAnsi="宋体" w:cs="宋体"/>
                <w:b/>
                <w:bCs/>
                <w:kern w:val="0"/>
              </w:rPr>
              <w:t>总得分情况</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93.50</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20"/>
              <w:rPr>
                <w:rFonts w:ascii="宋体" w:hAnsi="宋体" w:cs="宋体"/>
                <w:kern w:val="0"/>
              </w:rPr>
            </w:pPr>
          </w:p>
        </w:tc>
      </w:tr>
    </w:tbl>
    <w:p>
      <w:pPr>
        <w:spacing w:line="320" w:lineRule="exact"/>
      </w:pPr>
      <w:r>
        <w:rPr>
          <w:rFonts w:hint="eastAsia" w:cs="宋体"/>
        </w:rPr>
        <w:t>附注：</w:t>
      </w:r>
      <w:r>
        <w:t>1.</w:t>
      </w:r>
      <w:r>
        <w:rPr>
          <w:rFonts w:hint="eastAsia" w:cs="宋体"/>
        </w:rPr>
        <w:t>《部门整体支出绩效评价共性指标体系框架》的适用对象是部门和单位；</w:t>
      </w:r>
    </w:p>
    <w:p>
      <w:pPr>
        <w:spacing w:line="320" w:lineRule="exact"/>
      </w:pPr>
      <w:r>
        <w:t xml:space="preserve">      2.</w:t>
      </w:r>
      <w:r>
        <w:rPr>
          <w:rFonts w:hint="eastAsia" w:cs="宋体"/>
        </w:rPr>
        <w:t>各项指标的分值是参考分值，各部门各单位在开展绩效评价时可结合不同评价对象的特点，赋予评价指标科学合理的权重分值，明确具体的评分标准。</w:t>
      </w:r>
    </w:p>
    <w:sectPr>
      <w:footerReference r:id="rId3" w:type="default"/>
      <w:pgSz w:w="16838" w:h="11906" w:orient="landscape"/>
      <w:pgMar w:top="709" w:right="820" w:bottom="1135" w:left="851" w:header="851" w:footer="680"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dobe 楷体 Std R">
    <w:panose1 w:val="02020400000000000000"/>
    <w:charset w:val="86"/>
    <w:family w:val="roman"/>
    <w:pitch w:val="default"/>
    <w:sig w:usb0="00000001" w:usb1="0A0F1810" w:usb2="00000016" w:usb3="00000000" w:csb0="00060007"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altName w:val="方正舒体"/>
    <w:panose1 w:val="02000000000000000000"/>
    <w:charset w:val="86"/>
    <w:family w:val="script"/>
    <w:pitch w:val="default"/>
    <w:sig w:usb0="00000000" w:usb1="00000000" w:usb2="00000012" w:usb3="00000000" w:csb0="00040001" w:csb1="00000000"/>
  </w:font>
  <w:font w:name="Lucida Sans Unicode">
    <w:panose1 w:val="020B0602030504020204"/>
    <w:charset w:val="00"/>
    <w:family w:val="swiss"/>
    <w:pitch w:val="default"/>
    <w:sig w:usb0="80001AFF" w:usb1="0000396B" w:usb2="00000000" w:usb3="00000000" w:csb0="200000BF" w:csb1="D7F7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gxMmZjNWM5OTJlNjdlZWY2M2RkMDg4MjdkOWM4ZjYifQ=="/>
  </w:docVars>
  <w:rsids>
    <w:rsidRoot w:val="007C6A8D"/>
    <w:rsid w:val="0000021D"/>
    <w:rsid w:val="0001508B"/>
    <w:rsid w:val="00015287"/>
    <w:rsid w:val="00030032"/>
    <w:rsid w:val="00060F08"/>
    <w:rsid w:val="0006427C"/>
    <w:rsid w:val="000757DF"/>
    <w:rsid w:val="00082870"/>
    <w:rsid w:val="000949DA"/>
    <w:rsid w:val="00096A12"/>
    <w:rsid w:val="000A755A"/>
    <w:rsid w:val="000C1693"/>
    <w:rsid w:val="000C7F39"/>
    <w:rsid w:val="000D311F"/>
    <w:rsid w:val="000D5ECC"/>
    <w:rsid w:val="000E1445"/>
    <w:rsid w:val="000E37D0"/>
    <w:rsid w:val="001030DE"/>
    <w:rsid w:val="0011023B"/>
    <w:rsid w:val="001404CB"/>
    <w:rsid w:val="00150867"/>
    <w:rsid w:val="00156F7B"/>
    <w:rsid w:val="0015721B"/>
    <w:rsid w:val="00157B50"/>
    <w:rsid w:val="001720CA"/>
    <w:rsid w:val="00186083"/>
    <w:rsid w:val="00186AD9"/>
    <w:rsid w:val="001A4FCA"/>
    <w:rsid w:val="001B0FB7"/>
    <w:rsid w:val="001B1562"/>
    <w:rsid w:val="001D282A"/>
    <w:rsid w:val="001D2C27"/>
    <w:rsid w:val="001E1A5E"/>
    <w:rsid w:val="001E702E"/>
    <w:rsid w:val="001F5AA4"/>
    <w:rsid w:val="00200398"/>
    <w:rsid w:val="002060CA"/>
    <w:rsid w:val="00215CE2"/>
    <w:rsid w:val="00230A29"/>
    <w:rsid w:val="0023260A"/>
    <w:rsid w:val="00235966"/>
    <w:rsid w:val="0024228D"/>
    <w:rsid w:val="00246660"/>
    <w:rsid w:val="002656F4"/>
    <w:rsid w:val="0027677C"/>
    <w:rsid w:val="002856B3"/>
    <w:rsid w:val="002910E6"/>
    <w:rsid w:val="002A7700"/>
    <w:rsid w:val="002D2A14"/>
    <w:rsid w:val="002D6BC9"/>
    <w:rsid w:val="002E0FBC"/>
    <w:rsid w:val="00301F1E"/>
    <w:rsid w:val="00303233"/>
    <w:rsid w:val="00314E08"/>
    <w:rsid w:val="00321CA0"/>
    <w:rsid w:val="00323B8D"/>
    <w:rsid w:val="0033552A"/>
    <w:rsid w:val="0034451F"/>
    <w:rsid w:val="003577C2"/>
    <w:rsid w:val="0036344B"/>
    <w:rsid w:val="00382649"/>
    <w:rsid w:val="00392CF9"/>
    <w:rsid w:val="00394B68"/>
    <w:rsid w:val="003A0F34"/>
    <w:rsid w:val="003A3AB8"/>
    <w:rsid w:val="003B1900"/>
    <w:rsid w:val="003B732D"/>
    <w:rsid w:val="003D0481"/>
    <w:rsid w:val="003D2DDA"/>
    <w:rsid w:val="003D5362"/>
    <w:rsid w:val="003E2490"/>
    <w:rsid w:val="003F3BCB"/>
    <w:rsid w:val="003F4059"/>
    <w:rsid w:val="004063FF"/>
    <w:rsid w:val="00415ED0"/>
    <w:rsid w:val="004335E3"/>
    <w:rsid w:val="00433F78"/>
    <w:rsid w:val="00441673"/>
    <w:rsid w:val="00447BDD"/>
    <w:rsid w:val="00450535"/>
    <w:rsid w:val="00453535"/>
    <w:rsid w:val="00456A6D"/>
    <w:rsid w:val="00461A29"/>
    <w:rsid w:val="00471023"/>
    <w:rsid w:val="004805CE"/>
    <w:rsid w:val="004A3245"/>
    <w:rsid w:val="004A3334"/>
    <w:rsid w:val="004B47F6"/>
    <w:rsid w:val="004C3CA5"/>
    <w:rsid w:val="004D4B5F"/>
    <w:rsid w:val="004D70DA"/>
    <w:rsid w:val="00504CEC"/>
    <w:rsid w:val="0051517E"/>
    <w:rsid w:val="00567EEA"/>
    <w:rsid w:val="00574B4A"/>
    <w:rsid w:val="0058344B"/>
    <w:rsid w:val="005914C2"/>
    <w:rsid w:val="005A561A"/>
    <w:rsid w:val="005A7B7C"/>
    <w:rsid w:val="005C1A5C"/>
    <w:rsid w:val="005C793D"/>
    <w:rsid w:val="005D190A"/>
    <w:rsid w:val="005D6FD8"/>
    <w:rsid w:val="005D7EA1"/>
    <w:rsid w:val="005F0C07"/>
    <w:rsid w:val="005F5204"/>
    <w:rsid w:val="005F7406"/>
    <w:rsid w:val="00615072"/>
    <w:rsid w:val="006507E9"/>
    <w:rsid w:val="0065716A"/>
    <w:rsid w:val="006668F7"/>
    <w:rsid w:val="00670E00"/>
    <w:rsid w:val="00673267"/>
    <w:rsid w:val="00676402"/>
    <w:rsid w:val="0069041F"/>
    <w:rsid w:val="0069621C"/>
    <w:rsid w:val="006A08E5"/>
    <w:rsid w:val="006A0B18"/>
    <w:rsid w:val="006D0D0B"/>
    <w:rsid w:val="006E2C6E"/>
    <w:rsid w:val="006F0724"/>
    <w:rsid w:val="00730AAB"/>
    <w:rsid w:val="00752D49"/>
    <w:rsid w:val="00775B6F"/>
    <w:rsid w:val="007B1093"/>
    <w:rsid w:val="007B13E2"/>
    <w:rsid w:val="007C6A8D"/>
    <w:rsid w:val="007C77C0"/>
    <w:rsid w:val="007E03B1"/>
    <w:rsid w:val="007E16C0"/>
    <w:rsid w:val="007E3B55"/>
    <w:rsid w:val="007F11FC"/>
    <w:rsid w:val="007F3E0F"/>
    <w:rsid w:val="0080464B"/>
    <w:rsid w:val="008176F4"/>
    <w:rsid w:val="00820F16"/>
    <w:rsid w:val="0082636C"/>
    <w:rsid w:val="008274B1"/>
    <w:rsid w:val="00832FD6"/>
    <w:rsid w:val="00833D97"/>
    <w:rsid w:val="00850128"/>
    <w:rsid w:val="00851088"/>
    <w:rsid w:val="0085384E"/>
    <w:rsid w:val="00862580"/>
    <w:rsid w:val="00866D4F"/>
    <w:rsid w:val="0087079B"/>
    <w:rsid w:val="00881C08"/>
    <w:rsid w:val="00886EBB"/>
    <w:rsid w:val="008967B7"/>
    <w:rsid w:val="008A5EE3"/>
    <w:rsid w:val="008C01DD"/>
    <w:rsid w:val="008C5E9F"/>
    <w:rsid w:val="008D07E4"/>
    <w:rsid w:val="008D3C34"/>
    <w:rsid w:val="008E1E8B"/>
    <w:rsid w:val="008E68C9"/>
    <w:rsid w:val="00904D8B"/>
    <w:rsid w:val="00907B9F"/>
    <w:rsid w:val="00921F83"/>
    <w:rsid w:val="009254A3"/>
    <w:rsid w:val="00931C47"/>
    <w:rsid w:val="009374E9"/>
    <w:rsid w:val="0094704A"/>
    <w:rsid w:val="009476AD"/>
    <w:rsid w:val="0095248D"/>
    <w:rsid w:val="00962AD4"/>
    <w:rsid w:val="00970E47"/>
    <w:rsid w:val="00980307"/>
    <w:rsid w:val="009803FA"/>
    <w:rsid w:val="00997B8D"/>
    <w:rsid w:val="009B6BB4"/>
    <w:rsid w:val="009E4CDE"/>
    <w:rsid w:val="009E6E0D"/>
    <w:rsid w:val="00A22783"/>
    <w:rsid w:val="00A24D63"/>
    <w:rsid w:val="00A2585A"/>
    <w:rsid w:val="00A327AA"/>
    <w:rsid w:val="00A365EC"/>
    <w:rsid w:val="00A5377E"/>
    <w:rsid w:val="00A62C1B"/>
    <w:rsid w:val="00A70240"/>
    <w:rsid w:val="00A81088"/>
    <w:rsid w:val="00A91F43"/>
    <w:rsid w:val="00AA3BBF"/>
    <w:rsid w:val="00AA5338"/>
    <w:rsid w:val="00AC140F"/>
    <w:rsid w:val="00AC3ADE"/>
    <w:rsid w:val="00AD1911"/>
    <w:rsid w:val="00AD4C3B"/>
    <w:rsid w:val="00AD7537"/>
    <w:rsid w:val="00AE0B02"/>
    <w:rsid w:val="00AE1055"/>
    <w:rsid w:val="00B012E2"/>
    <w:rsid w:val="00B16374"/>
    <w:rsid w:val="00B2050B"/>
    <w:rsid w:val="00B21797"/>
    <w:rsid w:val="00B34F10"/>
    <w:rsid w:val="00B47F3A"/>
    <w:rsid w:val="00B6768F"/>
    <w:rsid w:val="00B77891"/>
    <w:rsid w:val="00B83B3F"/>
    <w:rsid w:val="00B86726"/>
    <w:rsid w:val="00B9050E"/>
    <w:rsid w:val="00BA2974"/>
    <w:rsid w:val="00BB7A05"/>
    <w:rsid w:val="00BC6F6B"/>
    <w:rsid w:val="00BD192D"/>
    <w:rsid w:val="00BD6342"/>
    <w:rsid w:val="00BE3156"/>
    <w:rsid w:val="00BE3EDA"/>
    <w:rsid w:val="00BF4CA2"/>
    <w:rsid w:val="00C00DBD"/>
    <w:rsid w:val="00C2157C"/>
    <w:rsid w:val="00C300F9"/>
    <w:rsid w:val="00C31F30"/>
    <w:rsid w:val="00C409C6"/>
    <w:rsid w:val="00C702B8"/>
    <w:rsid w:val="00C90564"/>
    <w:rsid w:val="00C922A8"/>
    <w:rsid w:val="00CA7D0F"/>
    <w:rsid w:val="00CB3DD2"/>
    <w:rsid w:val="00CB56DB"/>
    <w:rsid w:val="00CB6C81"/>
    <w:rsid w:val="00CB7FE9"/>
    <w:rsid w:val="00CC0E1B"/>
    <w:rsid w:val="00CC3765"/>
    <w:rsid w:val="00CC41B1"/>
    <w:rsid w:val="00CC7C71"/>
    <w:rsid w:val="00CD00CD"/>
    <w:rsid w:val="00CD69A4"/>
    <w:rsid w:val="00CE636F"/>
    <w:rsid w:val="00D02D95"/>
    <w:rsid w:val="00D07C3D"/>
    <w:rsid w:val="00D24842"/>
    <w:rsid w:val="00D43B54"/>
    <w:rsid w:val="00D50E3A"/>
    <w:rsid w:val="00D74103"/>
    <w:rsid w:val="00D86FE6"/>
    <w:rsid w:val="00DC002F"/>
    <w:rsid w:val="00DD1293"/>
    <w:rsid w:val="00DF6BC6"/>
    <w:rsid w:val="00E32187"/>
    <w:rsid w:val="00E32FC9"/>
    <w:rsid w:val="00E34FCB"/>
    <w:rsid w:val="00E35476"/>
    <w:rsid w:val="00E50219"/>
    <w:rsid w:val="00E61598"/>
    <w:rsid w:val="00E61B07"/>
    <w:rsid w:val="00E8740B"/>
    <w:rsid w:val="00E97131"/>
    <w:rsid w:val="00E975EF"/>
    <w:rsid w:val="00EA1345"/>
    <w:rsid w:val="00EB2116"/>
    <w:rsid w:val="00EC6DF6"/>
    <w:rsid w:val="00EE2AFD"/>
    <w:rsid w:val="00EF319E"/>
    <w:rsid w:val="00F04F21"/>
    <w:rsid w:val="00F05CC5"/>
    <w:rsid w:val="00F34DD9"/>
    <w:rsid w:val="00F44866"/>
    <w:rsid w:val="00F57AFD"/>
    <w:rsid w:val="00F76790"/>
    <w:rsid w:val="00F7783B"/>
    <w:rsid w:val="00F778F1"/>
    <w:rsid w:val="00F85BCF"/>
    <w:rsid w:val="00FA35BB"/>
    <w:rsid w:val="00FA665A"/>
    <w:rsid w:val="00FB06FD"/>
    <w:rsid w:val="00FB796A"/>
    <w:rsid w:val="07795694"/>
    <w:rsid w:val="0D867C68"/>
    <w:rsid w:val="1225393C"/>
    <w:rsid w:val="188F2010"/>
    <w:rsid w:val="2CDA2DAC"/>
    <w:rsid w:val="3A597BD1"/>
    <w:rsid w:val="3DF46AE9"/>
    <w:rsid w:val="425E112B"/>
    <w:rsid w:val="55CB09BF"/>
    <w:rsid w:val="594A0461"/>
    <w:rsid w:val="5B09638F"/>
    <w:rsid w:val="5D814826"/>
    <w:rsid w:val="61DE5ED4"/>
    <w:rsid w:val="672751FE"/>
    <w:rsid w:val="6D2C2F70"/>
    <w:rsid w:val="7FBD1824"/>
    <w:rsid w:val="D7CDE339"/>
    <w:rsid w:val="EEE828BE"/>
    <w:rsid w:val="FA6B5DFD"/>
    <w:rsid w:val="FFFFE7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w:basedOn w:val="1"/>
    <w:link w:val="20"/>
    <w:unhideWhenUsed/>
    <w:qFormat/>
    <w:uiPriority w:val="99"/>
    <w:pPr>
      <w:jc w:val="center"/>
    </w:pPr>
    <w:rPr>
      <w:rFonts w:asciiTheme="minorHAnsi" w:hAnsiTheme="minorHAnsi" w:eastAsiaTheme="minorEastAsia" w:cstheme="minorBidi"/>
    </w:rPr>
  </w:style>
  <w:style w:type="paragraph" w:styleId="3">
    <w:name w:val="Body Text Indent"/>
    <w:basedOn w:val="1"/>
    <w:link w:val="23"/>
    <w:unhideWhenUsed/>
    <w:qFormat/>
    <w:uiPriority w:val="0"/>
    <w:pPr>
      <w:spacing w:after="120"/>
      <w:ind w:left="420" w:leftChars="200"/>
    </w:pPr>
  </w:style>
  <w:style w:type="paragraph" w:styleId="4">
    <w:name w:val="endnote text"/>
    <w:basedOn w:val="1"/>
    <w:link w:val="18"/>
    <w:unhideWhenUsed/>
    <w:qFormat/>
    <w:uiPriority w:val="99"/>
    <w:pPr>
      <w:snapToGrid w:val="0"/>
      <w:jc w:val="left"/>
    </w:pPr>
  </w:style>
  <w:style w:type="paragraph" w:styleId="5">
    <w:name w:val="Balloon Text"/>
    <w:basedOn w:val="1"/>
    <w:link w:val="15"/>
    <w:unhideWhenUsed/>
    <w:qFormat/>
    <w:uiPriority w:val="99"/>
    <w:rPr>
      <w:sz w:val="18"/>
      <w:szCs w:val="18"/>
    </w:rPr>
  </w:style>
  <w:style w:type="paragraph" w:styleId="6">
    <w:name w:val="footer"/>
    <w:basedOn w:val="1"/>
    <w:link w:val="17"/>
    <w:unhideWhenUsed/>
    <w:qFormat/>
    <w:uiPriority w:val="0"/>
    <w:pPr>
      <w:tabs>
        <w:tab w:val="center" w:pos="4153"/>
        <w:tab w:val="right" w:pos="8306"/>
      </w:tabs>
      <w:snapToGrid w:val="0"/>
      <w:jc w:val="left"/>
    </w:pPr>
    <w:rPr>
      <w:sz w:val="18"/>
      <w:szCs w:val="18"/>
    </w:rPr>
  </w:style>
  <w:style w:type="paragraph" w:styleId="7">
    <w:name w:val="header"/>
    <w:basedOn w:val="1"/>
    <w:link w:val="16"/>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0"/>
    <w:rPr>
      <w:sz w:val="24"/>
    </w:rPr>
  </w:style>
  <w:style w:type="character" w:styleId="11">
    <w:name w:val="endnote reference"/>
    <w:basedOn w:val="10"/>
    <w:unhideWhenUsed/>
    <w:qFormat/>
    <w:uiPriority w:val="99"/>
    <w:rPr>
      <w:vertAlign w:val="superscript"/>
    </w:rPr>
  </w:style>
  <w:style w:type="character" w:styleId="12">
    <w:name w:val="page number"/>
    <w:basedOn w:val="10"/>
    <w:qFormat/>
    <w:uiPriority w:val="99"/>
  </w:style>
  <w:style w:type="character" w:styleId="13">
    <w:name w:val="FollowedHyperlink"/>
    <w:basedOn w:val="10"/>
    <w:qFormat/>
    <w:uiPriority w:val="0"/>
    <w:rPr>
      <w:color w:val="800080"/>
      <w:u w:val="single"/>
    </w:rPr>
  </w:style>
  <w:style w:type="character" w:styleId="14">
    <w:name w:val="Hyperlink"/>
    <w:basedOn w:val="10"/>
    <w:unhideWhenUsed/>
    <w:qFormat/>
    <w:uiPriority w:val="0"/>
    <w:rPr>
      <w:color w:val="0000FF"/>
      <w:u w:val="single"/>
    </w:rPr>
  </w:style>
  <w:style w:type="character" w:customStyle="1" w:styleId="15">
    <w:name w:val="批注框文本 Char"/>
    <w:basedOn w:val="10"/>
    <w:link w:val="5"/>
    <w:semiHidden/>
    <w:qFormat/>
    <w:uiPriority w:val="99"/>
    <w:rPr>
      <w:rFonts w:ascii="Times New Roman" w:hAnsi="Times New Roman" w:eastAsia="宋体" w:cs="Times New Roman"/>
      <w:sz w:val="18"/>
      <w:szCs w:val="18"/>
    </w:rPr>
  </w:style>
  <w:style w:type="character" w:customStyle="1" w:styleId="16">
    <w:name w:val="页眉 Char"/>
    <w:basedOn w:val="10"/>
    <w:link w:val="7"/>
    <w:qFormat/>
    <w:uiPriority w:val="0"/>
    <w:rPr>
      <w:rFonts w:ascii="Times New Roman" w:hAnsi="Times New Roman" w:eastAsia="宋体" w:cs="Times New Roman"/>
      <w:sz w:val="18"/>
      <w:szCs w:val="18"/>
    </w:rPr>
  </w:style>
  <w:style w:type="character" w:customStyle="1" w:styleId="17">
    <w:name w:val="页脚 Char"/>
    <w:basedOn w:val="10"/>
    <w:link w:val="6"/>
    <w:qFormat/>
    <w:uiPriority w:val="0"/>
    <w:rPr>
      <w:rFonts w:ascii="Times New Roman" w:hAnsi="Times New Roman" w:eastAsia="宋体" w:cs="Times New Roman"/>
      <w:sz w:val="18"/>
      <w:szCs w:val="18"/>
    </w:rPr>
  </w:style>
  <w:style w:type="character" w:customStyle="1" w:styleId="18">
    <w:name w:val="尾注文本 Char"/>
    <w:basedOn w:val="10"/>
    <w:link w:val="4"/>
    <w:semiHidden/>
    <w:qFormat/>
    <w:uiPriority w:val="99"/>
    <w:rPr>
      <w:rFonts w:ascii="Times New Roman" w:hAnsi="Times New Roman" w:eastAsia="宋体" w:cs="Times New Roman"/>
      <w:szCs w:val="24"/>
    </w:rPr>
  </w:style>
  <w:style w:type="character" w:customStyle="1" w:styleId="19">
    <w:name w:val="正文文本 Char"/>
    <w:basedOn w:val="10"/>
    <w:link w:val="2"/>
    <w:qFormat/>
    <w:uiPriority w:val="99"/>
    <w:rPr>
      <w:kern w:val="2"/>
      <w:sz w:val="21"/>
      <w:szCs w:val="24"/>
    </w:rPr>
  </w:style>
  <w:style w:type="character" w:customStyle="1" w:styleId="20">
    <w:name w:val="正文文本 Char1"/>
    <w:basedOn w:val="10"/>
    <w:link w:val="2"/>
    <w:semiHidden/>
    <w:qFormat/>
    <w:uiPriority w:val="99"/>
    <w:rPr>
      <w:rFonts w:ascii="Times New Roman" w:hAnsi="Times New Roman" w:eastAsia="宋体" w:cs="Times New Roman"/>
      <w:kern w:val="2"/>
      <w:sz w:val="21"/>
      <w:szCs w:val="24"/>
    </w:rPr>
  </w:style>
  <w:style w:type="paragraph" w:customStyle="1" w:styleId="21">
    <w:name w:val="列出段落1"/>
    <w:basedOn w:val="1"/>
    <w:unhideWhenUsed/>
    <w:qFormat/>
    <w:uiPriority w:val="99"/>
    <w:pPr>
      <w:ind w:firstLine="420" w:firstLineChars="200"/>
    </w:pPr>
  </w:style>
  <w:style w:type="character" w:customStyle="1" w:styleId="22">
    <w:name w:val="fontstyle01"/>
    <w:qFormat/>
    <w:uiPriority w:val="0"/>
    <w:rPr>
      <w:rFonts w:hint="eastAsia" w:ascii="仿宋_GB2312" w:hAnsi="Calibri" w:eastAsia="仿宋_GB2312" w:cs="Times New Roman"/>
      <w:color w:val="000000"/>
      <w:sz w:val="32"/>
      <w:szCs w:val="32"/>
    </w:rPr>
  </w:style>
  <w:style w:type="character" w:customStyle="1" w:styleId="23">
    <w:name w:val="正文文本缩进 Char"/>
    <w:basedOn w:val="10"/>
    <w:link w:val="3"/>
    <w:semiHidden/>
    <w:qFormat/>
    <w:uiPriority w:val="99"/>
    <w:rPr>
      <w:rFonts w:ascii="Times New Roman" w:hAnsi="Times New Roman" w:eastAsia="宋体" w:cs="Times New Roman"/>
      <w:kern w:val="2"/>
      <w:sz w:val="21"/>
      <w:szCs w:val="24"/>
    </w:rPr>
  </w:style>
  <w:style w:type="character" w:customStyle="1" w:styleId="24">
    <w:name w:val="apple-converted-space"/>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29</Pages>
  <Words>14200</Words>
  <Characters>14797</Characters>
  <Lines>11</Lines>
  <Paragraphs>31</Paragraphs>
  <TotalTime>7</TotalTime>
  <ScaleCrop>false</ScaleCrop>
  <LinksUpToDate>false</LinksUpToDate>
  <CharactersWithSpaces>14937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2021-05-02T08:46:00Z</dcterms:created>
  <dc:creator>桂鑫</dc:creator>
  <cp:lastModifiedBy>哎呦璯     1km</cp:lastModifiedBy>
  <dcterms:modified xsi:type="dcterms:W3CDTF">2023-01-30T05:20:58Z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7F39CE9C0325425C9FE03BE32E0AC86F</vt:lpwstr>
  </property>
</Properties>
</file>